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D1D66" w14:textId="77777777" w:rsidR="00E437ED" w:rsidRDefault="00E437ED" w:rsidP="00E437ED">
      <w:pPr>
        <w:rPr>
          <w:rFonts w:ascii="Times New Roman" w:hAnsi="Times New Roman"/>
          <w:b/>
          <w:sz w:val="24"/>
          <w:szCs w:val="24"/>
        </w:rPr>
      </w:pPr>
      <w:r w:rsidRPr="00E62CCC">
        <w:rPr>
          <w:rFonts w:ascii="Times New Roman" w:hAnsi="Times New Roman"/>
          <w:b/>
          <w:sz w:val="24"/>
          <w:szCs w:val="24"/>
        </w:rPr>
        <w:t>Individual Assignment 2</w:t>
      </w:r>
    </w:p>
    <w:p w14:paraId="339DB197" w14:textId="77777777" w:rsidR="00E437ED" w:rsidRPr="00104B6D" w:rsidRDefault="00E437ED" w:rsidP="00E437ED">
      <w:pPr>
        <w:pStyle w:val="NoSpacing"/>
        <w:jc w:val="center"/>
        <w:rPr>
          <w:rFonts w:ascii="Times New Roman" w:hAnsi="Times New Roman"/>
          <w:b/>
          <w:sz w:val="24"/>
          <w:szCs w:val="24"/>
        </w:rPr>
      </w:pPr>
      <w:r w:rsidRPr="00104B6D">
        <w:rPr>
          <w:rFonts w:ascii="Times New Roman" w:hAnsi="Times New Roman"/>
          <w:b/>
          <w:sz w:val="24"/>
          <w:szCs w:val="24"/>
        </w:rPr>
        <w:t>SOUTH AFRICA Brewery (SAB)</w:t>
      </w:r>
    </w:p>
    <w:p w14:paraId="43B2B809" w14:textId="77777777" w:rsidR="00E437ED" w:rsidRDefault="00E437ED" w:rsidP="00E437ED">
      <w:pPr>
        <w:pStyle w:val="NoSpacing"/>
        <w:rPr>
          <w:rFonts w:ascii="Times New Roman" w:hAnsi="Times New Roman"/>
        </w:rPr>
      </w:pPr>
    </w:p>
    <w:p w14:paraId="3A4B045E"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 xml:space="preserve">SAB was incorporated in 1895 and was listed in the Johannesburg Stock Exchange in 1897 and then on the London Stock Exchange in 1898.  In the period </w:t>
      </w:r>
      <w:r w:rsidRPr="001327DD">
        <w:rPr>
          <w:rFonts w:ascii="Times New Roman" w:hAnsi="Times New Roman"/>
          <w:b/>
          <w:i/>
          <w:sz w:val="24"/>
          <w:szCs w:val="24"/>
        </w:rPr>
        <w:t>1948-1994,</w:t>
      </w:r>
      <w:r w:rsidRPr="001327DD">
        <w:rPr>
          <w:rFonts w:ascii="Times New Roman" w:hAnsi="Times New Roman"/>
          <w:sz w:val="24"/>
          <w:szCs w:val="24"/>
        </w:rPr>
        <w:t xml:space="preserve"> the South Africa government introduced the racist system of apartheid where the black people were separated from the white people. The rest of the world imposed economic sanction on South Africa where no country could trade with South Africa and no South Africa business could trade in the international market.</w:t>
      </w:r>
    </w:p>
    <w:p w14:paraId="6AF34E7B" w14:textId="77777777" w:rsidR="00E437ED" w:rsidRDefault="00E437ED" w:rsidP="00E437ED">
      <w:pPr>
        <w:pStyle w:val="NoSpacing"/>
        <w:rPr>
          <w:rFonts w:ascii="Times New Roman" w:hAnsi="Times New Roman"/>
          <w:sz w:val="24"/>
          <w:szCs w:val="24"/>
        </w:rPr>
      </w:pPr>
      <w:r w:rsidRPr="001327DD">
        <w:rPr>
          <w:rFonts w:ascii="Times New Roman" w:hAnsi="Times New Roman"/>
          <w:sz w:val="24"/>
          <w:szCs w:val="24"/>
        </w:rPr>
        <w:t xml:space="preserve">During this period of apartheid, SAB focused its business only in South Africa and became fully incorporated in South Africa in 1970.  Next the South Africa government imposed heavy tax on beer and the black Africans were prohibited from consuming beer.  </w:t>
      </w:r>
      <w:proofErr w:type="gramStart"/>
      <w:r w:rsidRPr="001327DD">
        <w:rPr>
          <w:rFonts w:ascii="Times New Roman" w:hAnsi="Times New Roman"/>
          <w:sz w:val="24"/>
          <w:szCs w:val="24"/>
        </w:rPr>
        <w:t>Subsequent to</w:t>
      </w:r>
      <w:proofErr w:type="gramEnd"/>
      <w:r w:rsidRPr="001327DD">
        <w:rPr>
          <w:rFonts w:ascii="Times New Roman" w:hAnsi="Times New Roman"/>
          <w:sz w:val="24"/>
          <w:szCs w:val="24"/>
        </w:rPr>
        <w:t xml:space="preserve"> these developments, SAB was concerned to dominate the domestic beer production by acquiring the competitors and then rationalised the production and distribution facilities.</w:t>
      </w:r>
    </w:p>
    <w:p w14:paraId="1316B7B4" w14:textId="77777777" w:rsidR="00E437ED" w:rsidRDefault="00E437ED" w:rsidP="00E437ED">
      <w:pPr>
        <w:pStyle w:val="NoSpacing"/>
        <w:rPr>
          <w:rFonts w:ascii="Times New Roman" w:hAnsi="Times New Roman"/>
          <w:sz w:val="24"/>
          <w:szCs w:val="24"/>
        </w:rPr>
      </w:pPr>
      <w:r>
        <w:rPr>
          <w:rFonts w:ascii="Times New Roman" w:hAnsi="Times New Roman"/>
          <w:sz w:val="24"/>
          <w:szCs w:val="24"/>
        </w:rPr>
        <w:t xml:space="preserve">SAB obtained licenses to brew locally Guinness, Amstel and Carling Black Label. </w:t>
      </w:r>
    </w:p>
    <w:p w14:paraId="699220F9"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SAB also diversified into other businesses such as hotels and gambling by acqui</w:t>
      </w:r>
      <w:r>
        <w:rPr>
          <w:rFonts w:ascii="Times New Roman" w:hAnsi="Times New Roman"/>
          <w:sz w:val="24"/>
          <w:szCs w:val="24"/>
        </w:rPr>
        <w:t xml:space="preserve">ring the Sun City casino resort, and through joint-ventures involved in businesses involving food, property, retail, clothing and footwear </w:t>
      </w:r>
      <w:proofErr w:type="gramStart"/>
      <w:r>
        <w:rPr>
          <w:rFonts w:ascii="Times New Roman" w:hAnsi="Times New Roman"/>
          <w:sz w:val="24"/>
          <w:szCs w:val="24"/>
        </w:rPr>
        <w:t>and  manufacturing</w:t>
      </w:r>
      <w:proofErr w:type="gramEnd"/>
      <w:r>
        <w:rPr>
          <w:rFonts w:ascii="Times New Roman" w:hAnsi="Times New Roman"/>
          <w:sz w:val="24"/>
          <w:szCs w:val="24"/>
        </w:rPr>
        <w:t xml:space="preserve"> of safety matches (1987).  In 1994 the Government of Tanzania invited Sab to revitalise its brewing </w:t>
      </w:r>
      <w:proofErr w:type="gramStart"/>
      <w:r>
        <w:rPr>
          <w:rFonts w:ascii="Times New Roman" w:hAnsi="Times New Roman"/>
          <w:sz w:val="24"/>
          <w:szCs w:val="24"/>
        </w:rPr>
        <w:t>industry</w:t>
      </w:r>
      <w:proofErr w:type="gramEnd"/>
      <w:r>
        <w:rPr>
          <w:rFonts w:ascii="Times New Roman" w:hAnsi="Times New Roman"/>
          <w:sz w:val="24"/>
          <w:szCs w:val="24"/>
        </w:rPr>
        <w:t xml:space="preserve"> and this was followed by Zambia, Mozambique and Angola.</w:t>
      </w:r>
    </w:p>
    <w:p w14:paraId="2607CD38" w14:textId="77777777" w:rsidR="00E437ED" w:rsidRDefault="00E437ED" w:rsidP="00E437ED">
      <w:pPr>
        <w:pStyle w:val="NoSpacing"/>
        <w:rPr>
          <w:rFonts w:ascii="Times New Roman" w:hAnsi="Times New Roman"/>
          <w:sz w:val="24"/>
          <w:szCs w:val="24"/>
        </w:rPr>
      </w:pPr>
      <w:r w:rsidRPr="001327DD">
        <w:rPr>
          <w:rFonts w:ascii="Times New Roman" w:hAnsi="Times New Roman"/>
          <w:sz w:val="24"/>
          <w:szCs w:val="24"/>
        </w:rPr>
        <w:t>By 1997 SAB controlled about 99% of the market in South Africa and held commandin</w:t>
      </w:r>
      <w:r>
        <w:rPr>
          <w:rFonts w:ascii="Times New Roman" w:hAnsi="Times New Roman"/>
          <w:sz w:val="24"/>
          <w:szCs w:val="24"/>
        </w:rPr>
        <w:t>g position in the nearby states: Swaziland, Lesotho, Rhodesia and Botswana.</w:t>
      </w:r>
      <w:r w:rsidRPr="001327DD">
        <w:rPr>
          <w:rFonts w:ascii="Times New Roman" w:hAnsi="Times New Roman"/>
          <w:sz w:val="24"/>
          <w:szCs w:val="24"/>
        </w:rPr>
        <w:t xml:space="preserve"> </w:t>
      </w:r>
    </w:p>
    <w:p w14:paraId="1458B23E"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 xml:space="preserve">In 2000 SAB dominated the beer market in South Africa and there was no space for local expansion especially in alcoholic beverages.  The next strategic expansion was to go into global markets.    </w:t>
      </w:r>
    </w:p>
    <w:p w14:paraId="29BAA049" w14:textId="77777777" w:rsidR="00E437ED" w:rsidRPr="001327DD" w:rsidRDefault="00E437ED" w:rsidP="00E437ED">
      <w:pPr>
        <w:pStyle w:val="NoSpacing"/>
        <w:rPr>
          <w:rFonts w:ascii="Times New Roman" w:hAnsi="Times New Roman"/>
          <w:sz w:val="24"/>
          <w:szCs w:val="24"/>
        </w:rPr>
      </w:pPr>
      <w:proofErr w:type="gramStart"/>
      <w:r w:rsidRPr="001327DD">
        <w:rPr>
          <w:rFonts w:ascii="Times New Roman" w:hAnsi="Times New Roman"/>
          <w:sz w:val="24"/>
          <w:szCs w:val="24"/>
        </w:rPr>
        <w:t>Actually, in</w:t>
      </w:r>
      <w:proofErr w:type="gramEnd"/>
      <w:r w:rsidRPr="001327DD">
        <w:rPr>
          <w:rFonts w:ascii="Times New Roman" w:hAnsi="Times New Roman"/>
          <w:sz w:val="24"/>
          <w:szCs w:val="24"/>
        </w:rPr>
        <w:t xml:space="preserve"> 1993 SAB acquired the largest brewery, </w:t>
      </w:r>
      <w:proofErr w:type="spellStart"/>
      <w:r w:rsidRPr="001327DD">
        <w:rPr>
          <w:rFonts w:ascii="Times New Roman" w:hAnsi="Times New Roman"/>
          <w:sz w:val="24"/>
          <w:szCs w:val="24"/>
        </w:rPr>
        <w:t>Dreker</w:t>
      </w:r>
      <w:proofErr w:type="spellEnd"/>
      <w:r w:rsidRPr="001327DD">
        <w:rPr>
          <w:rFonts w:ascii="Times New Roman" w:hAnsi="Times New Roman"/>
          <w:sz w:val="24"/>
          <w:szCs w:val="24"/>
        </w:rPr>
        <w:t xml:space="preserve"> in Hungry and from here, SAB started to move into the beer markets in central European countries - the emerging economies.   By 1994, SAB established operations in China by forming a JV with China Resources E</w:t>
      </w:r>
      <w:r>
        <w:rPr>
          <w:rFonts w:ascii="Times New Roman" w:hAnsi="Times New Roman"/>
          <w:sz w:val="24"/>
          <w:szCs w:val="24"/>
        </w:rPr>
        <w:t xml:space="preserve">nterprise Ltd   to add China’s </w:t>
      </w:r>
      <w:r w:rsidRPr="001327DD">
        <w:rPr>
          <w:rFonts w:ascii="Times New Roman" w:hAnsi="Times New Roman"/>
          <w:sz w:val="24"/>
          <w:szCs w:val="24"/>
        </w:rPr>
        <w:t xml:space="preserve">biggest beer brand, SNOW to its portfolio. In 1995 SAB made acquisitions of beer operations in Eastern European countries like Poland, Romania, Slovakia and the Czech Republic and the central Russia in 1998 through establishing a ‘green field’ brewing near Moscow.  </w:t>
      </w:r>
    </w:p>
    <w:p w14:paraId="77A3C6FD"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 xml:space="preserve">The success of SAB entry into the developing economies in Africa, Asia and Europe was </w:t>
      </w:r>
      <w:proofErr w:type="gramStart"/>
      <w:r w:rsidRPr="001327DD">
        <w:rPr>
          <w:rFonts w:ascii="Times New Roman" w:hAnsi="Times New Roman"/>
          <w:sz w:val="24"/>
          <w:szCs w:val="24"/>
        </w:rPr>
        <w:t>due to the fact that</w:t>
      </w:r>
      <w:proofErr w:type="gramEnd"/>
      <w:r w:rsidRPr="001327DD">
        <w:rPr>
          <w:rFonts w:ascii="Times New Roman" w:hAnsi="Times New Roman"/>
          <w:sz w:val="24"/>
          <w:szCs w:val="24"/>
        </w:rPr>
        <w:t xml:space="preserve"> the breweries there were fragmented and small in scale, localised and producing low-quality beer.  This situation provided the opportunity for SAB to take a share in a brewery with a local partner and transforming the business while retaining the brand, thereby givi</w:t>
      </w:r>
      <w:r>
        <w:rPr>
          <w:rFonts w:ascii="Times New Roman" w:hAnsi="Times New Roman"/>
          <w:sz w:val="24"/>
          <w:szCs w:val="24"/>
        </w:rPr>
        <w:t xml:space="preserve">ng the local drinkers a better </w:t>
      </w:r>
      <w:r w:rsidRPr="001327DD">
        <w:rPr>
          <w:rFonts w:ascii="Times New Roman" w:hAnsi="Times New Roman"/>
          <w:sz w:val="24"/>
          <w:szCs w:val="24"/>
        </w:rPr>
        <w:t>quality and consistency beer.  SAB helped to improve marketing and distribution and productivity and capacity.  The</w:t>
      </w:r>
      <w:r>
        <w:rPr>
          <w:rFonts w:ascii="Times New Roman" w:hAnsi="Times New Roman"/>
          <w:sz w:val="24"/>
          <w:szCs w:val="24"/>
        </w:rPr>
        <w:t xml:space="preserve"> market expanded from regional </w:t>
      </w:r>
      <w:r w:rsidRPr="001327DD">
        <w:rPr>
          <w:rFonts w:ascii="Times New Roman" w:hAnsi="Times New Roman"/>
          <w:sz w:val="24"/>
          <w:szCs w:val="24"/>
        </w:rPr>
        <w:t xml:space="preserve">basis to national level.  SAB had applied its k\skills it had acquired over 100 years operating in South Africa.   Its management structure was basically decentralised, reflecting the local nature of best branding and distribution.  It </w:t>
      </w:r>
      <w:r>
        <w:rPr>
          <w:rFonts w:ascii="Times New Roman" w:hAnsi="Times New Roman"/>
          <w:sz w:val="24"/>
          <w:szCs w:val="24"/>
        </w:rPr>
        <w:t xml:space="preserve">was able to attain </w:t>
      </w:r>
      <w:r w:rsidRPr="001327DD">
        <w:rPr>
          <w:rFonts w:ascii="Times New Roman" w:hAnsi="Times New Roman"/>
          <w:sz w:val="24"/>
          <w:szCs w:val="24"/>
        </w:rPr>
        <w:t xml:space="preserve">efficiency in operations and distribution of beer and reduced the costs.   This approach worked well in developing economies but not in developed countries.  </w:t>
      </w:r>
      <w:r>
        <w:rPr>
          <w:rFonts w:ascii="Times New Roman" w:hAnsi="Times New Roman"/>
          <w:sz w:val="24"/>
          <w:szCs w:val="24"/>
        </w:rPr>
        <w:t xml:space="preserve">SABMiller realised that it </w:t>
      </w:r>
      <w:proofErr w:type="gramStart"/>
      <w:r>
        <w:rPr>
          <w:rFonts w:ascii="Times New Roman" w:hAnsi="Times New Roman"/>
          <w:sz w:val="24"/>
          <w:szCs w:val="24"/>
        </w:rPr>
        <w:t>has the ability to</w:t>
      </w:r>
      <w:proofErr w:type="gramEnd"/>
      <w:r>
        <w:rPr>
          <w:rFonts w:ascii="Times New Roman" w:hAnsi="Times New Roman"/>
          <w:sz w:val="24"/>
          <w:szCs w:val="24"/>
        </w:rPr>
        <w:t xml:space="preserve"> tap into deep local insights and win over the market. They do it by working alongside with the retailers to help them grow their beer category and creating the beer that meets the local taste.</w:t>
      </w:r>
    </w:p>
    <w:p w14:paraId="6115DA22"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 xml:space="preserve">By 2002, SAB owned more than 100 breweries in 24 countries and accounted for about 14% of annual revenues.  Most of the company’s brands were only sold on a local or regional basis </w:t>
      </w:r>
      <w:r w:rsidRPr="001327DD">
        <w:rPr>
          <w:rFonts w:ascii="Times New Roman" w:hAnsi="Times New Roman"/>
          <w:sz w:val="24"/>
          <w:szCs w:val="24"/>
        </w:rPr>
        <w:lastRenderedPageBreak/>
        <w:t xml:space="preserve">but none had reached the global market like Heineken, Amstel or Guinness. </w:t>
      </w:r>
      <w:proofErr w:type="gramStart"/>
      <w:r w:rsidRPr="001327DD">
        <w:rPr>
          <w:rFonts w:ascii="Times New Roman" w:hAnsi="Times New Roman"/>
          <w:sz w:val="24"/>
          <w:szCs w:val="24"/>
        </w:rPr>
        <w:t>Furthermore</w:t>
      </w:r>
      <w:proofErr w:type="gramEnd"/>
      <w:r w:rsidRPr="001327DD">
        <w:rPr>
          <w:rFonts w:ascii="Times New Roman" w:hAnsi="Times New Roman"/>
          <w:sz w:val="24"/>
          <w:szCs w:val="24"/>
        </w:rPr>
        <w:t xml:space="preserve"> the South African money, the rank, was quite volatile.</w:t>
      </w:r>
    </w:p>
    <w:p w14:paraId="1E5E3EDE"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In 2002, SAB acquired Miller Brewery in USA and created SABMiller and became world’s number 3 brewer in terms of production volume.  Miller operates 9 breweries in the USA.</w:t>
      </w:r>
    </w:p>
    <w:p w14:paraId="209E8F6F" w14:textId="77777777" w:rsidR="00E437ED" w:rsidRDefault="00E437ED" w:rsidP="00E437ED">
      <w:pPr>
        <w:pStyle w:val="NoSpacing"/>
        <w:rPr>
          <w:rFonts w:ascii="Times New Roman" w:hAnsi="Times New Roman"/>
          <w:sz w:val="24"/>
          <w:szCs w:val="24"/>
        </w:rPr>
      </w:pPr>
      <w:r w:rsidRPr="001327DD">
        <w:rPr>
          <w:rFonts w:ascii="Times New Roman" w:hAnsi="Times New Roman"/>
          <w:sz w:val="24"/>
          <w:szCs w:val="24"/>
        </w:rPr>
        <w:t xml:space="preserve"> In 2005, SABMiller merged with Grupo </w:t>
      </w:r>
      <w:proofErr w:type="spellStart"/>
      <w:r w:rsidRPr="001327DD">
        <w:rPr>
          <w:rFonts w:ascii="Times New Roman" w:hAnsi="Times New Roman"/>
          <w:sz w:val="24"/>
          <w:szCs w:val="24"/>
        </w:rPr>
        <w:t>Empresarial</w:t>
      </w:r>
      <w:proofErr w:type="spellEnd"/>
      <w:r w:rsidRPr="001327DD">
        <w:rPr>
          <w:rFonts w:ascii="Times New Roman" w:hAnsi="Times New Roman"/>
          <w:sz w:val="24"/>
          <w:szCs w:val="24"/>
        </w:rPr>
        <w:t xml:space="preserve"> </w:t>
      </w:r>
      <w:proofErr w:type="gramStart"/>
      <w:r w:rsidRPr="001327DD">
        <w:rPr>
          <w:rFonts w:ascii="Times New Roman" w:hAnsi="Times New Roman"/>
          <w:sz w:val="24"/>
          <w:szCs w:val="24"/>
        </w:rPr>
        <w:t>Bavaria,  the</w:t>
      </w:r>
      <w:proofErr w:type="gramEnd"/>
      <w:r w:rsidRPr="001327DD">
        <w:rPr>
          <w:rFonts w:ascii="Times New Roman" w:hAnsi="Times New Roman"/>
          <w:sz w:val="24"/>
          <w:szCs w:val="24"/>
        </w:rPr>
        <w:t xml:space="preserve"> second largest brewer in South America. In 2008, SABMiller had a JV with Molson Coors in North America to gain more market share in the US beer industry. </w:t>
      </w:r>
    </w:p>
    <w:p w14:paraId="7DF1656B"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In 2011 SABMiller acquired the</w:t>
      </w:r>
      <w:r>
        <w:rPr>
          <w:rFonts w:ascii="Times New Roman" w:hAnsi="Times New Roman"/>
          <w:sz w:val="24"/>
          <w:szCs w:val="24"/>
        </w:rPr>
        <w:t xml:space="preserve"> Australian Beer Group Fosters </w:t>
      </w:r>
      <w:r w:rsidRPr="001327DD">
        <w:rPr>
          <w:rFonts w:ascii="Times New Roman" w:hAnsi="Times New Roman"/>
          <w:sz w:val="24"/>
          <w:szCs w:val="24"/>
        </w:rPr>
        <w:t xml:space="preserve">and </w:t>
      </w:r>
      <w:proofErr w:type="gramStart"/>
      <w:r w:rsidRPr="001327DD">
        <w:rPr>
          <w:rFonts w:ascii="Times New Roman" w:hAnsi="Times New Roman"/>
          <w:sz w:val="24"/>
          <w:szCs w:val="24"/>
        </w:rPr>
        <w:t>became  the</w:t>
      </w:r>
      <w:proofErr w:type="gramEnd"/>
      <w:r w:rsidRPr="001327DD">
        <w:rPr>
          <w:rFonts w:ascii="Times New Roman" w:hAnsi="Times New Roman"/>
          <w:sz w:val="24"/>
          <w:szCs w:val="24"/>
        </w:rPr>
        <w:t xml:space="preserve"> second largest brewer by volume and profits in the world.  </w:t>
      </w:r>
    </w:p>
    <w:p w14:paraId="30CCC0BE"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 xml:space="preserve">By 2015, SABMiller’s market share was 12% and its </w:t>
      </w:r>
      <w:proofErr w:type="gramStart"/>
      <w:r w:rsidRPr="001327DD">
        <w:rPr>
          <w:rFonts w:ascii="Times New Roman" w:hAnsi="Times New Roman"/>
          <w:sz w:val="24"/>
          <w:szCs w:val="24"/>
        </w:rPr>
        <w:t>brands  portfolio</w:t>
      </w:r>
      <w:proofErr w:type="gramEnd"/>
      <w:r w:rsidRPr="001327DD">
        <w:rPr>
          <w:rFonts w:ascii="Times New Roman" w:hAnsi="Times New Roman"/>
          <w:sz w:val="24"/>
          <w:szCs w:val="24"/>
        </w:rPr>
        <w:t xml:space="preserve"> included international brands such as Pilsner </w:t>
      </w:r>
      <w:proofErr w:type="spellStart"/>
      <w:r w:rsidRPr="001327DD">
        <w:rPr>
          <w:rFonts w:ascii="Times New Roman" w:hAnsi="Times New Roman"/>
          <w:sz w:val="24"/>
          <w:szCs w:val="24"/>
        </w:rPr>
        <w:t>Urquell</w:t>
      </w:r>
      <w:proofErr w:type="spellEnd"/>
      <w:r w:rsidRPr="001327DD">
        <w:rPr>
          <w:rFonts w:ascii="Times New Roman" w:hAnsi="Times New Roman"/>
          <w:sz w:val="24"/>
          <w:szCs w:val="24"/>
        </w:rPr>
        <w:t xml:space="preserve">, Peroni Nastro Azzurro, Miller Genuine Draft and </w:t>
      </w:r>
      <w:proofErr w:type="spellStart"/>
      <w:r w:rsidRPr="001327DD">
        <w:rPr>
          <w:rFonts w:ascii="Times New Roman" w:hAnsi="Times New Roman"/>
          <w:sz w:val="24"/>
          <w:szCs w:val="24"/>
        </w:rPr>
        <w:t>Grolsch</w:t>
      </w:r>
      <w:proofErr w:type="spellEnd"/>
      <w:r w:rsidRPr="001327DD">
        <w:rPr>
          <w:rFonts w:ascii="Times New Roman" w:hAnsi="Times New Roman"/>
          <w:sz w:val="24"/>
          <w:szCs w:val="24"/>
        </w:rPr>
        <w:t xml:space="preserve"> along with local country brands such as Aguila, Castie Lager, Miller Lite, VB, Snow and </w:t>
      </w:r>
      <w:proofErr w:type="spellStart"/>
      <w:r w:rsidRPr="001327DD">
        <w:rPr>
          <w:rFonts w:ascii="Times New Roman" w:hAnsi="Times New Roman"/>
          <w:sz w:val="24"/>
          <w:szCs w:val="24"/>
        </w:rPr>
        <w:t>Tyskie</w:t>
      </w:r>
      <w:proofErr w:type="spellEnd"/>
      <w:r w:rsidRPr="001327DD">
        <w:rPr>
          <w:rFonts w:ascii="Times New Roman" w:hAnsi="Times New Roman"/>
          <w:sz w:val="24"/>
          <w:szCs w:val="24"/>
        </w:rPr>
        <w:t>.</w:t>
      </w:r>
    </w:p>
    <w:p w14:paraId="3A0B1111" w14:textId="77777777" w:rsidR="00E437ED" w:rsidRPr="001327DD" w:rsidRDefault="00E437ED" w:rsidP="00E437ED">
      <w:pPr>
        <w:pStyle w:val="NoSpacing"/>
        <w:rPr>
          <w:rFonts w:ascii="Times New Roman" w:hAnsi="Times New Roman"/>
          <w:sz w:val="24"/>
          <w:szCs w:val="24"/>
        </w:rPr>
      </w:pPr>
      <w:r w:rsidRPr="001327DD">
        <w:rPr>
          <w:rFonts w:ascii="Times New Roman" w:hAnsi="Times New Roman"/>
          <w:sz w:val="24"/>
          <w:szCs w:val="24"/>
        </w:rPr>
        <w:t xml:space="preserve">Three of SABMiller’s main global competitors, Anheuser Busch, </w:t>
      </w:r>
      <w:proofErr w:type="spellStart"/>
      <w:r w:rsidRPr="001327DD">
        <w:rPr>
          <w:rFonts w:ascii="Times New Roman" w:hAnsi="Times New Roman"/>
          <w:sz w:val="24"/>
          <w:szCs w:val="24"/>
        </w:rPr>
        <w:t>Interbrew</w:t>
      </w:r>
      <w:proofErr w:type="spellEnd"/>
      <w:r w:rsidRPr="001327DD">
        <w:rPr>
          <w:rFonts w:ascii="Times New Roman" w:hAnsi="Times New Roman"/>
          <w:sz w:val="24"/>
          <w:szCs w:val="24"/>
        </w:rPr>
        <w:t xml:space="preserve"> and Ambev had merged in 2008, to form AB InBev, to claim market leadership with a consolidated 25% of global market share. In 2014 SABMiller attempted to takeover Heineken, a Dutch company but its bid was rejected. </w:t>
      </w:r>
      <w:proofErr w:type="gramStart"/>
      <w:r w:rsidRPr="001327DD">
        <w:rPr>
          <w:rFonts w:ascii="Times New Roman" w:hAnsi="Times New Roman"/>
          <w:sz w:val="24"/>
          <w:szCs w:val="24"/>
        </w:rPr>
        <w:t>However</w:t>
      </w:r>
      <w:proofErr w:type="gramEnd"/>
      <w:r w:rsidRPr="001327DD">
        <w:rPr>
          <w:rFonts w:ascii="Times New Roman" w:hAnsi="Times New Roman"/>
          <w:sz w:val="24"/>
          <w:szCs w:val="24"/>
        </w:rPr>
        <w:t xml:space="preserve"> in 2015 SABMiller received an offer from AB </w:t>
      </w:r>
      <w:proofErr w:type="spellStart"/>
      <w:r w:rsidRPr="001327DD">
        <w:rPr>
          <w:rFonts w:ascii="Times New Roman" w:hAnsi="Times New Roman"/>
          <w:sz w:val="24"/>
          <w:szCs w:val="24"/>
        </w:rPr>
        <w:t>Inbev</w:t>
      </w:r>
      <w:proofErr w:type="spellEnd"/>
      <w:r w:rsidRPr="001327DD">
        <w:rPr>
          <w:rFonts w:ascii="Times New Roman" w:hAnsi="Times New Roman"/>
          <w:sz w:val="24"/>
          <w:szCs w:val="24"/>
        </w:rPr>
        <w:t xml:space="preserve"> and SABMiller had agreed to the deal.</w:t>
      </w:r>
    </w:p>
    <w:p w14:paraId="559A7D0F" w14:textId="77777777" w:rsidR="00E437ED" w:rsidRDefault="00E437ED" w:rsidP="00E437ED">
      <w:pPr>
        <w:pStyle w:val="NoSpacing"/>
        <w:rPr>
          <w:rFonts w:ascii="Times New Roman" w:hAnsi="Times New Roman"/>
          <w:sz w:val="24"/>
          <w:szCs w:val="24"/>
        </w:rPr>
      </w:pPr>
      <w:proofErr w:type="gramStart"/>
      <w:r>
        <w:rPr>
          <w:rFonts w:ascii="Times New Roman" w:hAnsi="Times New Roman"/>
          <w:sz w:val="24"/>
          <w:szCs w:val="24"/>
        </w:rPr>
        <w:t>SABMiller,</w:t>
      </w:r>
      <w:proofErr w:type="gramEnd"/>
      <w:r>
        <w:rPr>
          <w:rFonts w:ascii="Times New Roman" w:hAnsi="Times New Roman"/>
          <w:sz w:val="24"/>
          <w:szCs w:val="24"/>
        </w:rPr>
        <w:t xml:space="preserve"> considered their position and re-examined its four strategic priorities that were synthesized from what the company had learnt over its 100 years history and set out in 2010.</w:t>
      </w:r>
    </w:p>
    <w:p w14:paraId="22BC9805" w14:textId="77777777" w:rsidR="00E437ED" w:rsidRDefault="00E437ED" w:rsidP="00E437ED">
      <w:pPr>
        <w:pStyle w:val="NoSpacing"/>
        <w:rPr>
          <w:rFonts w:ascii="Times New Roman" w:hAnsi="Times New Roman"/>
          <w:sz w:val="24"/>
          <w:szCs w:val="24"/>
        </w:rPr>
      </w:pPr>
    </w:p>
    <w:p w14:paraId="3820BD0D" w14:textId="77777777" w:rsidR="00E437ED" w:rsidRPr="004B322C" w:rsidRDefault="00E437ED" w:rsidP="00E437ED">
      <w:pPr>
        <w:pStyle w:val="NoSpacing"/>
        <w:rPr>
          <w:rFonts w:ascii="Times New Roman" w:hAnsi="Times New Roman"/>
          <w:sz w:val="20"/>
          <w:szCs w:val="20"/>
        </w:rPr>
      </w:pPr>
      <w:r w:rsidRPr="004B322C">
        <w:rPr>
          <w:rFonts w:ascii="Times New Roman" w:hAnsi="Times New Roman"/>
          <w:sz w:val="20"/>
          <w:szCs w:val="20"/>
        </w:rPr>
        <w:t>SABMiller’s strategic priorities</w:t>
      </w:r>
    </w:p>
    <w:tbl>
      <w:tblPr>
        <w:tblStyle w:val="TableGrid"/>
        <w:tblW w:w="0" w:type="auto"/>
        <w:tblInd w:w="108" w:type="dxa"/>
        <w:tblLook w:val="04A0" w:firstRow="1" w:lastRow="0" w:firstColumn="1" w:lastColumn="0" w:noHBand="0" w:noVBand="1"/>
      </w:tblPr>
      <w:tblGrid>
        <w:gridCol w:w="2369"/>
        <w:gridCol w:w="6539"/>
      </w:tblGrid>
      <w:tr w:rsidR="00E437ED" w14:paraId="500B8E44" w14:textId="77777777" w:rsidTr="0056752C">
        <w:tc>
          <w:tcPr>
            <w:tcW w:w="2410" w:type="dxa"/>
          </w:tcPr>
          <w:p w14:paraId="5B016F44" w14:textId="77777777" w:rsidR="00E437ED" w:rsidRDefault="00E437ED" w:rsidP="0056752C">
            <w:pPr>
              <w:pStyle w:val="NoSpacing"/>
              <w:rPr>
                <w:rFonts w:ascii="Times New Roman" w:hAnsi="Times New Roman"/>
                <w:sz w:val="20"/>
                <w:szCs w:val="20"/>
              </w:rPr>
            </w:pPr>
            <w:r w:rsidRPr="00957640">
              <w:rPr>
                <w:rFonts w:ascii="Times New Roman" w:hAnsi="Times New Roman"/>
                <w:sz w:val="20"/>
                <w:szCs w:val="20"/>
              </w:rPr>
              <w:t xml:space="preserve">1.  Creating a balanced and </w:t>
            </w:r>
            <w:r>
              <w:rPr>
                <w:rFonts w:ascii="Times New Roman" w:hAnsi="Times New Roman"/>
                <w:sz w:val="20"/>
                <w:szCs w:val="20"/>
              </w:rPr>
              <w:t xml:space="preserve">      </w:t>
            </w:r>
          </w:p>
          <w:p w14:paraId="611671D9"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 xml:space="preserve">     </w:t>
            </w:r>
            <w:r w:rsidRPr="00957640">
              <w:rPr>
                <w:rFonts w:ascii="Times New Roman" w:hAnsi="Times New Roman"/>
                <w:sz w:val="20"/>
                <w:szCs w:val="20"/>
              </w:rPr>
              <w:t xml:space="preserve">attractive global spread </w:t>
            </w:r>
            <w:r>
              <w:rPr>
                <w:rFonts w:ascii="Times New Roman" w:hAnsi="Times New Roman"/>
                <w:sz w:val="20"/>
                <w:szCs w:val="20"/>
              </w:rPr>
              <w:t xml:space="preserve">  </w:t>
            </w:r>
          </w:p>
          <w:p w14:paraId="351A6C1F" w14:textId="77777777" w:rsidR="00E437ED" w:rsidRPr="00957640" w:rsidRDefault="00E437ED" w:rsidP="0056752C">
            <w:pPr>
              <w:pStyle w:val="NoSpacing"/>
              <w:rPr>
                <w:rFonts w:ascii="Times New Roman" w:hAnsi="Times New Roman"/>
                <w:sz w:val="20"/>
                <w:szCs w:val="20"/>
              </w:rPr>
            </w:pPr>
            <w:r>
              <w:rPr>
                <w:rFonts w:ascii="Times New Roman" w:hAnsi="Times New Roman"/>
                <w:sz w:val="20"/>
                <w:szCs w:val="20"/>
              </w:rPr>
              <w:t xml:space="preserve">     </w:t>
            </w:r>
            <w:r w:rsidRPr="00957640">
              <w:rPr>
                <w:rFonts w:ascii="Times New Roman" w:hAnsi="Times New Roman"/>
                <w:sz w:val="20"/>
                <w:szCs w:val="20"/>
              </w:rPr>
              <w:t>of businesses</w:t>
            </w:r>
          </w:p>
        </w:tc>
        <w:tc>
          <w:tcPr>
            <w:tcW w:w="6724" w:type="dxa"/>
          </w:tcPr>
          <w:p w14:paraId="51B2B661" w14:textId="77777777" w:rsidR="00E437ED" w:rsidRPr="00957640" w:rsidRDefault="00E437ED" w:rsidP="0056752C">
            <w:pPr>
              <w:pStyle w:val="NoSpacing"/>
              <w:rPr>
                <w:rFonts w:ascii="Times New Roman" w:hAnsi="Times New Roman"/>
                <w:sz w:val="20"/>
                <w:szCs w:val="20"/>
              </w:rPr>
            </w:pPr>
            <w:r>
              <w:rPr>
                <w:rFonts w:ascii="Times New Roman" w:hAnsi="Times New Roman"/>
                <w:sz w:val="20"/>
                <w:szCs w:val="20"/>
              </w:rPr>
              <w:t xml:space="preserve">Our acquisitions in recent years have given us a wide geographical spread with good exposure to emerging markets, without being over-reliant on any single region. This allows us to capture new growth in developing markets.    </w:t>
            </w:r>
          </w:p>
        </w:tc>
      </w:tr>
      <w:tr w:rsidR="00E437ED" w14:paraId="737DDE40" w14:textId="77777777" w:rsidTr="0056752C">
        <w:tc>
          <w:tcPr>
            <w:tcW w:w="2410" w:type="dxa"/>
          </w:tcPr>
          <w:p w14:paraId="665D972D"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 xml:space="preserve">2.  Developing strong, </w:t>
            </w:r>
          </w:p>
          <w:p w14:paraId="2F7D7656"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 xml:space="preserve">     relevant brand </w:t>
            </w:r>
          </w:p>
          <w:p w14:paraId="7B3184AD"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 xml:space="preserve">     portfolios in the local </w:t>
            </w:r>
          </w:p>
          <w:p w14:paraId="35BBCCF8" w14:textId="77777777" w:rsidR="00E437ED" w:rsidRPr="00957640" w:rsidRDefault="00E437ED" w:rsidP="0056752C">
            <w:pPr>
              <w:pStyle w:val="NoSpacing"/>
              <w:rPr>
                <w:rFonts w:ascii="Times New Roman" w:hAnsi="Times New Roman"/>
                <w:sz w:val="20"/>
                <w:szCs w:val="20"/>
              </w:rPr>
            </w:pPr>
            <w:r>
              <w:rPr>
                <w:rFonts w:ascii="Times New Roman" w:hAnsi="Times New Roman"/>
                <w:sz w:val="20"/>
                <w:szCs w:val="20"/>
              </w:rPr>
              <w:t xml:space="preserve">     market</w:t>
            </w:r>
          </w:p>
        </w:tc>
        <w:tc>
          <w:tcPr>
            <w:tcW w:w="6724" w:type="dxa"/>
          </w:tcPr>
          <w:p w14:paraId="00B32422" w14:textId="77777777" w:rsidR="00E437ED" w:rsidRPr="00957640" w:rsidRDefault="00E437ED" w:rsidP="0056752C">
            <w:pPr>
              <w:pStyle w:val="NoSpacing"/>
              <w:rPr>
                <w:rFonts w:ascii="Times New Roman" w:hAnsi="Times New Roman"/>
                <w:sz w:val="20"/>
                <w:szCs w:val="20"/>
              </w:rPr>
            </w:pPr>
            <w:r>
              <w:rPr>
                <w:rFonts w:ascii="Times New Roman" w:hAnsi="Times New Roman"/>
                <w:sz w:val="20"/>
                <w:szCs w:val="20"/>
              </w:rPr>
              <w:t xml:space="preserve">Our aim is to develop an attractive brand portfolio that meets consumers’ needs in each of our markets.  In many markets, growth is fastest at </w:t>
            </w:r>
            <w:proofErr w:type="gramStart"/>
            <w:r>
              <w:rPr>
                <w:rFonts w:ascii="Times New Roman" w:hAnsi="Times New Roman"/>
                <w:sz w:val="20"/>
                <w:szCs w:val="20"/>
              </w:rPr>
              <w:t>the  top</w:t>
            </w:r>
            <w:proofErr w:type="gramEnd"/>
            <w:r>
              <w:rPr>
                <w:rFonts w:ascii="Times New Roman" w:hAnsi="Times New Roman"/>
                <w:sz w:val="20"/>
                <w:szCs w:val="20"/>
              </w:rPr>
              <w:t xml:space="preserve"> end, as shown by the increasing popularity of our international premium brands.  Another rising consumer trend is the shift towards fragmentation.  Affluent consumers are varying their choices and becoming more interested in speciality brands, craft beers, </w:t>
            </w:r>
            <w:proofErr w:type="gramStart"/>
            <w:r>
              <w:rPr>
                <w:rFonts w:ascii="Times New Roman" w:hAnsi="Times New Roman"/>
                <w:sz w:val="20"/>
                <w:szCs w:val="20"/>
              </w:rPr>
              <w:t>foreign imports</w:t>
            </w:r>
            <w:proofErr w:type="gramEnd"/>
            <w:r>
              <w:rPr>
                <w:rFonts w:ascii="Times New Roman" w:hAnsi="Times New Roman"/>
                <w:sz w:val="20"/>
                <w:szCs w:val="20"/>
              </w:rPr>
              <w:t xml:space="preserve"> and other subdivisions of the premium segment.  And a third trend is the growing importance of female consumers.</w:t>
            </w:r>
          </w:p>
        </w:tc>
      </w:tr>
      <w:tr w:rsidR="00E437ED" w14:paraId="3E2CEEAA" w14:textId="77777777" w:rsidTr="0056752C">
        <w:tc>
          <w:tcPr>
            <w:tcW w:w="2410" w:type="dxa"/>
          </w:tcPr>
          <w:p w14:paraId="3EC43C68"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 xml:space="preserve">3.  Constantly raising the </w:t>
            </w:r>
          </w:p>
          <w:p w14:paraId="094E2A3E"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 xml:space="preserve">     performance of local   </w:t>
            </w:r>
          </w:p>
          <w:p w14:paraId="16B73271" w14:textId="77777777" w:rsidR="00E437ED" w:rsidRPr="00957640" w:rsidRDefault="00E437ED" w:rsidP="0056752C">
            <w:pPr>
              <w:pStyle w:val="NoSpacing"/>
              <w:rPr>
                <w:rFonts w:ascii="Times New Roman" w:hAnsi="Times New Roman"/>
                <w:sz w:val="20"/>
                <w:szCs w:val="20"/>
              </w:rPr>
            </w:pPr>
            <w:r>
              <w:rPr>
                <w:rFonts w:ascii="Times New Roman" w:hAnsi="Times New Roman"/>
                <w:sz w:val="20"/>
                <w:szCs w:val="20"/>
              </w:rPr>
              <w:t xml:space="preserve">     businesses</w:t>
            </w:r>
          </w:p>
        </w:tc>
        <w:tc>
          <w:tcPr>
            <w:tcW w:w="6724" w:type="dxa"/>
          </w:tcPr>
          <w:p w14:paraId="0D16C915" w14:textId="77777777" w:rsidR="00E437ED" w:rsidRPr="00957640" w:rsidRDefault="00E437ED" w:rsidP="0056752C">
            <w:pPr>
              <w:pStyle w:val="NoSpacing"/>
              <w:rPr>
                <w:rFonts w:ascii="Times New Roman" w:hAnsi="Times New Roman"/>
                <w:sz w:val="20"/>
                <w:szCs w:val="20"/>
              </w:rPr>
            </w:pPr>
            <w:proofErr w:type="gramStart"/>
            <w:r>
              <w:rPr>
                <w:rFonts w:ascii="Times New Roman" w:hAnsi="Times New Roman"/>
                <w:sz w:val="20"/>
                <w:szCs w:val="20"/>
              </w:rPr>
              <w:t>In order to</w:t>
            </w:r>
            <w:proofErr w:type="gramEnd"/>
            <w:r>
              <w:rPr>
                <w:rFonts w:ascii="Times New Roman" w:hAnsi="Times New Roman"/>
                <w:sz w:val="20"/>
                <w:szCs w:val="20"/>
              </w:rPr>
              <w:t xml:space="preserve"> raise our performance, we need to become more efficient, especially in our manufacturing processes.  Efficiency is part of our day-to-day management and the rise in commodity costs compels us to do whatever we can to counteract the squeeze on our margins. All SABMiller operations strive to improve our products’ route to market, to remove costs and to ensure that the right products reach the right outlets in the right condition.</w:t>
            </w:r>
          </w:p>
        </w:tc>
      </w:tr>
      <w:tr w:rsidR="00E437ED" w14:paraId="020C6C4B" w14:textId="77777777" w:rsidTr="0056752C">
        <w:tc>
          <w:tcPr>
            <w:tcW w:w="2410" w:type="dxa"/>
          </w:tcPr>
          <w:p w14:paraId="5CCCC6E6"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 xml:space="preserve">4. Leveraging our global </w:t>
            </w:r>
          </w:p>
          <w:p w14:paraId="36F748E9" w14:textId="77777777" w:rsidR="00E437ED" w:rsidRPr="00957640" w:rsidRDefault="00E437ED" w:rsidP="0056752C">
            <w:pPr>
              <w:pStyle w:val="NoSpacing"/>
              <w:rPr>
                <w:rFonts w:ascii="Times New Roman" w:hAnsi="Times New Roman"/>
                <w:sz w:val="20"/>
                <w:szCs w:val="20"/>
              </w:rPr>
            </w:pPr>
            <w:r>
              <w:rPr>
                <w:rFonts w:ascii="Times New Roman" w:hAnsi="Times New Roman"/>
                <w:sz w:val="20"/>
                <w:szCs w:val="20"/>
              </w:rPr>
              <w:t xml:space="preserve">    scale</w:t>
            </w:r>
          </w:p>
        </w:tc>
        <w:tc>
          <w:tcPr>
            <w:tcW w:w="6724" w:type="dxa"/>
          </w:tcPr>
          <w:p w14:paraId="47B4E6F0" w14:textId="77777777" w:rsidR="00E437ED" w:rsidRPr="00957640" w:rsidRDefault="00E437ED" w:rsidP="0056752C">
            <w:pPr>
              <w:pStyle w:val="NoSpacing"/>
              <w:rPr>
                <w:rFonts w:ascii="Times New Roman" w:hAnsi="Times New Roman"/>
                <w:sz w:val="20"/>
                <w:szCs w:val="20"/>
              </w:rPr>
            </w:pPr>
            <w:r>
              <w:rPr>
                <w:rFonts w:ascii="Times New Roman" w:hAnsi="Times New Roman"/>
                <w:sz w:val="20"/>
                <w:szCs w:val="20"/>
              </w:rPr>
              <w:t xml:space="preserve">As a global organisation we are constantly seeking </w:t>
            </w:r>
            <w:proofErr w:type="gramStart"/>
            <w:r>
              <w:rPr>
                <w:rFonts w:ascii="Times New Roman" w:hAnsi="Times New Roman"/>
                <w:sz w:val="20"/>
                <w:szCs w:val="20"/>
              </w:rPr>
              <w:t>to  use</w:t>
            </w:r>
            <w:proofErr w:type="gramEnd"/>
            <w:r>
              <w:rPr>
                <w:rFonts w:ascii="Times New Roman" w:hAnsi="Times New Roman"/>
                <w:sz w:val="20"/>
                <w:szCs w:val="20"/>
              </w:rPr>
              <w:t xml:space="preserve"> the benefits of our scale while recognising that beer is essentially a local business and that local managers are in the best position to identify and exploit local opportunities.  Our aim is to generate maximum value and advantage from our size without becoming over-centralised and losing our relevance and responsiveness in each market.</w:t>
            </w:r>
          </w:p>
        </w:tc>
      </w:tr>
    </w:tbl>
    <w:p w14:paraId="31A32A53" w14:textId="77777777" w:rsidR="00E437ED" w:rsidRDefault="00E437ED" w:rsidP="00E437ED">
      <w:pPr>
        <w:pStyle w:val="NoSpacing"/>
        <w:rPr>
          <w:rFonts w:ascii="Times New Roman" w:hAnsi="Times New Roman"/>
          <w:sz w:val="24"/>
          <w:szCs w:val="24"/>
        </w:rPr>
      </w:pPr>
    </w:p>
    <w:p w14:paraId="5B9B8B05" w14:textId="77777777" w:rsidR="00E437ED" w:rsidRDefault="00E437ED" w:rsidP="00E437ED">
      <w:pPr>
        <w:pStyle w:val="NoSpacing"/>
        <w:rPr>
          <w:rFonts w:ascii="Times New Roman" w:hAnsi="Times New Roman"/>
          <w:sz w:val="24"/>
          <w:szCs w:val="24"/>
        </w:rPr>
      </w:pPr>
    </w:p>
    <w:p w14:paraId="793119A0" w14:textId="77777777" w:rsidR="00E437ED" w:rsidRDefault="00E437ED" w:rsidP="00E437ED">
      <w:pPr>
        <w:pStyle w:val="NoSpacing"/>
        <w:rPr>
          <w:rFonts w:ascii="Times New Roman" w:hAnsi="Times New Roman"/>
          <w:sz w:val="24"/>
          <w:szCs w:val="24"/>
        </w:rPr>
      </w:pPr>
    </w:p>
    <w:p w14:paraId="6BB11505" w14:textId="77777777" w:rsidR="00E437ED" w:rsidRDefault="00E437ED" w:rsidP="00E437ED">
      <w:pPr>
        <w:pStyle w:val="NoSpacing"/>
        <w:rPr>
          <w:rFonts w:ascii="Times New Roman" w:hAnsi="Times New Roman"/>
          <w:sz w:val="24"/>
          <w:szCs w:val="24"/>
        </w:rPr>
      </w:pPr>
    </w:p>
    <w:p w14:paraId="03805170" w14:textId="77777777" w:rsidR="00E437ED" w:rsidRDefault="00E437ED" w:rsidP="00E437ED">
      <w:pPr>
        <w:pStyle w:val="NoSpacing"/>
        <w:rPr>
          <w:rFonts w:ascii="Times New Roman" w:hAnsi="Times New Roman"/>
          <w:sz w:val="24"/>
          <w:szCs w:val="24"/>
        </w:rPr>
      </w:pPr>
    </w:p>
    <w:p w14:paraId="6CC0E976" w14:textId="77777777" w:rsidR="00E437ED" w:rsidRDefault="00E437ED" w:rsidP="00E437ED">
      <w:pPr>
        <w:pStyle w:val="NoSpacing"/>
        <w:rPr>
          <w:rFonts w:ascii="Times New Roman" w:hAnsi="Times New Roman"/>
          <w:sz w:val="24"/>
          <w:szCs w:val="24"/>
        </w:rPr>
      </w:pPr>
    </w:p>
    <w:p w14:paraId="3FC9416A" w14:textId="77777777" w:rsidR="00E437ED" w:rsidRDefault="00E437ED" w:rsidP="00E437ED">
      <w:pPr>
        <w:pStyle w:val="NoSpacing"/>
        <w:rPr>
          <w:rFonts w:ascii="Times New Roman" w:hAnsi="Times New Roman"/>
          <w:sz w:val="24"/>
          <w:szCs w:val="24"/>
        </w:rPr>
      </w:pPr>
    </w:p>
    <w:p w14:paraId="26DF4891" w14:textId="77777777" w:rsidR="00E437ED" w:rsidRDefault="00E437ED" w:rsidP="00E437ED">
      <w:pPr>
        <w:pStyle w:val="NoSpacing"/>
        <w:rPr>
          <w:rFonts w:ascii="Times New Roman" w:hAnsi="Times New Roman"/>
          <w:sz w:val="24"/>
          <w:szCs w:val="24"/>
        </w:rPr>
      </w:pPr>
    </w:p>
    <w:p w14:paraId="5EEF99F9" w14:textId="77777777" w:rsidR="00E437ED" w:rsidRPr="004B322C" w:rsidRDefault="00E437ED" w:rsidP="00E437ED">
      <w:pPr>
        <w:pStyle w:val="NoSpacing"/>
        <w:rPr>
          <w:rFonts w:ascii="Times New Roman" w:hAnsi="Times New Roman"/>
          <w:sz w:val="20"/>
          <w:szCs w:val="20"/>
        </w:rPr>
      </w:pPr>
      <w:r>
        <w:rPr>
          <w:rFonts w:ascii="Times New Roman" w:hAnsi="Times New Roman"/>
          <w:sz w:val="20"/>
          <w:szCs w:val="20"/>
        </w:rPr>
        <w:lastRenderedPageBreak/>
        <w:t xml:space="preserve">    </w:t>
      </w:r>
      <w:r w:rsidRPr="004B322C">
        <w:rPr>
          <w:rFonts w:ascii="Times New Roman" w:hAnsi="Times New Roman"/>
          <w:sz w:val="20"/>
          <w:szCs w:val="20"/>
        </w:rPr>
        <w:t>Global beer consumption by region in 2013</w:t>
      </w:r>
    </w:p>
    <w:tbl>
      <w:tblPr>
        <w:tblStyle w:val="TableGrid"/>
        <w:tblW w:w="0" w:type="auto"/>
        <w:tblInd w:w="250" w:type="dxa"/>
        <w:tblLook w:val="04A0" w:firstRow="1" w:lastRow="0" w:firstColumn="1" w:lastColumn="0" w:noHBand="0" w:noVBand="1"/>
      </w:tblPr>
      <w:tblGrid>
        <w:gridCol w:w="1559"/>
        <w:gridCol w:w="2268"/>
      </w:tblGrid>
      <w:tr w:rsidR="00E437ED" w14:paraId="1C829CB5" w14:textId="77777777" w:rsidTr="0056752C">
        <w:tc>
          <w:tcPr>
            <w:tcW w:w="1559" w:type="dxa"/>
          </w:tcPr>
          <w:p w14:paraId="28F2C13F"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Region</w:t>
            </w:r>
          </w:p>
        </w:tc>
        <w:tc>
          <w:tcPr>
            <w:tcW w:w="2268" w:type="dxa"/>
          </w:tcPr>
          <w:p w14:paraId="03EC54EC"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Beer Consumption in %</w:t>
            </w:r>
          </w:p>
        </w:tc>
      </w:tr>
      <w:tr w:rsidR="00E437ED" w14:paraId="369DA9EF" w14:textId="77777777" w:rsidTr="0056752C">
        <w:tc>
          <w:tcPr>
            <w:tcW w:w="1559" w:type="dxa"/>
          </w:tcPr>
          <w:p w14:paraId="59C27D5B"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Middle East</w:t>
            </w:r>
          </w:p>
        </w:tc>
        <w:tc>
          <w:tcPr>
            <w:tcW w:w="2268" w:type="dxa"/>
          </w:tcPr>
          <w:p w14:paraId="154FEF57"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 xml:space="preserve">  0.8</w:t>
            </w:r>
          </w:p>
        </w:tc>
      </w:tr>
      <w:tr w:rsidR="00E437ED" w14:paraId="2EF889F7" w14:textId="77777777" w:rsidTr="0056752C">
        <w:tc>
          <w:tcPr>
            <w:tcW w:w="1559" w:type="dxa"/>
          </w:tcPr>
          <w:p w14:paraId="598CFAAF"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 xml:space="preserve">Oceania </w:t>
            </w:r>
          </w:p>
        </w:tc>
        <w:tc>
          <w:tcPr>
            <w:tcW w:w="2268" w:type="dxa"/>
          </w:tcPr>
          <w:p w14:paraId="1079E2A5"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 xml:space="preserve">  1.2</w:t>
            </w:r>
          </w:p>
        </w:tc>
      </w:tr>
      <w:tr w:rsidR="00E437ED" w14:paraId="7C271F95" w14:textId="77777777" w:rsidTr="0056752C">
        <w:tc>
          <w:tcPr>
            <w:tcW w:w="1559" w:type="dxa"/>
          </w:tcPr>
          <w:p w14:paraId="0FD1A126"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Africa</w:t>
            </w:r>
          </w:p>
        </w:tc>
        <w:tc>
          <w:tcPr>
            <w:tcW w:w="2268" w:type="dxa"/>
          </w:tcPr>
          <w:p w14:paraId="781FEF2A"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 xml:space="preserve">  6.4</w:t>
            </w:r>
          </w:p>
        </w:tc>
      </w:tr>
      <w:tr w:rsidR="00E437ED" w14:paraId="04076A9A" w14:textId="77777777" w:rsidTr="0056752C">
        <w:tc>
          <w:tcPr>
            <w:tcW w:w="1559" w:type="dxa"/>
          </w:tcPr>
          <w:p w14:paraId="03F384C1"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North America</w:t>
            </w:r>
          </w:p>
        </w:tc>
        <w:tc>
          <w:tcPr>
            <w:tcW w:w="2268" w:type="dxa"/>
          </w:tcPr>
          <w:p w14:paraId="303889B3"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13.9</w:t>
            </w:r>
          </w:p>
        </w:tc>
      </w:tr>
      <w:tr w:rsidR="00E437ED" w14:paraId="3D578145" w14:textId="77777777" w:rsidTr="0056752C">
        <w:tc>
          <w:tcPr>
            <w:tcW w:w="1559" w:type="dxa"/>
          </w:tcPr>
          <w:p w14:paraId="2B914FDE"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South America</w:t>
            </w:r>
          </w:p>
        </w:tc>
        <w:tc>
          <w:tcPr>
            <w:tcW w:w="2268" w:type="dxa"/>
          </w:tcPr>
          <w:p w14:paraId="00B1BACA"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16.2</w:t>
            </w:r>
          </w:p>
        </w:tc>
      </w:tr>
      <w:tr w:rsidR="00E437ED" w14:paraId="0C428429" w14:textId="77777777" w:rsidTr="0056752C">
        <w:tc>
          <w:tcPr>
            <w:tcW w:w="1559" w:type="dxa"/>
          </w:tcPr>
          <w:p w14:paraId="6106FC26"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Europe</w:t>
            </w:r>
          </w:p>
        </w:tc>
        <w:tc>
          <w:tcPr>
            <w:tcW w:w="2268" w:type="dxa"/>
          </w:tcPr>
          <w:p w14:paraId="64041911"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27.0</w:t>
            </w:r>
          </w:p>
        </w:tc>
      </w:tr>
      <w:tr w:rsidR="00E437ED" w14:paraId="2A3EFB7E" w14:textId="77777777" w:rsidTr="0056752C">
        <w:tc>
          <w:tcPr>
            <w:tcW w:w="1559" w:type="dxa"/>
          </w:tcPr>
          <w:p w14:paraId="6ED4CA58"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Asia</w:t>
            </w:r>
          </w:p>
        </w:tc>
        <w:tc>
          <w:tcPr>
            <w:tcW w:w="2268" w:type="dxa"/>
          </w:tcPr>
          <w:p w14:paraId="74638DAC" w14:textId="77777777" w:rsidR="00E437ED" w:rsidRPr="004B322C" w:rsidRDefault="00E437ED" w:rsidP="0056752C">
            <w:pPr>
              <w:pStyle w:val="NoSpacing"/>
              <w:rPr>
                <w:rFonts w:ascii="Times New Roman" w:hAnsi="Times New Roman"/>
                <w:sz w:val="20"/>
                <w:szCs w:val="20"/>
              </w:rPr>
            </w:pPr>
            <w:r>
              <w:rPr>
                <w:rFonts w:ascii="Times New Roman" w:hAnsi="Times New Roman"/>
                <w:sz w:val="20"/>
                <w:szCs w:val="20"/>
              </w:rPr>
              <w:t>34.8</w:t>
            </w:r>
          </w:p>
        </w:tc>
      </w:tr>
    </w:tbl>
    <w:p w14:paraId="4D42DBED" w14:textId="77777777" w:rsidR="00E437ED" w:rsidRDefault="00E437ED" w:rsidP="00E437ED">
      <w:pPr>
        <w:pStyle w:val="NoSpacing"/>
        <w:rPr>
          <w:rFonts w:ascii="Times New Roman" w:hAnsi="Times New Roman"/>
          <w:sz w:val="24"/>
          <w:szCs w:val="24"/>
        </w:rPr>
      </w:pPr>
    </w:p>
    <w:p w14:paraId="18FBF40F" w14:textId="77777777" w:rsidR="00E437ED" w:rsidRPr="009A42EC" w:rsidRDefault="00E437ED" w:rsidP="00E437ED">
      <w:pPr>
        <w:pStyle w:val="NoSpacing"/>
        <w:rPr>
          <w:rFonts w:ascii="Times New Roman" w:hAnsi="Times New Roman"/>
          <w:sz w:val="20"/>
          <w:szCs w:val="20"/>
        </w:rPr>
      </w:pPr>
      <w:r>
        <w:rPr>
          <w:rFonts w:ascii="Times New Roman" w:hAnsi="Times New Roman"/>
          <w:sz w:val="24"/>
          <w:szCs w:val="24"/>
        </w:rPr>
        <w:t xml:space="preserve">  </w:t>
      </w:r>
      <w:proofErr w:type="gramStart"/>
      <w:r w:rsidRPr="009A42EC">
        <w:rPr>
          <w:rFonts w:ascii="Times New Roman" w:hAnsi="Times New Roman"/>
          <w:sz w:val="20"/>
          <w:szCs w:val="20"/>
        </w:rPr>
        <w:t>Competitor</w:t>
      </w:r>
      <w:proofErr w:type="gramEnd"/>
      <w:r w:rsidRPr="009A42EC">
        <w:rPr>
          <w:rFonts w:ascii="Times New Roman" w:hAnsi="Times New Roman"/>
          <w:sz w:val="20"/>
          <w:szCs w:val="20"/>
        </w:rPr>
        <w:t xml:space="preserve"> share of global $33bn profit pool </w:t>
      </w:r>
      <w:r>
        <w:rPr>
          <w:rFonts w:ascii="Times New Roman" w:hAnsi="Times New Roman"/>
          <w:sz w:val="20"/>
          <w:szCs w:val="20"/>
        </w:rPr>
        <w:t>(2</w:t>
      </w:r>
      <w:r w:rsidRPr="009A42EC">
        <w:rPr>
          <w:rFonts w:ascii="Times New Roman" w:hAnsi="Times New Roman"/>
          <w:sz w:val="20"/>
          <w:szCs w:val="20"/>
        </w:rPr>
        <w:t>014</w:t>
      </w:r>
      <w:r>
        <w:rPr>
          <w:rFonts w:ascii="Times New Roman" w:hAnsi="Times New Roman"/>
          <w:sz w:val="20"/>
          <w:szCs w:val="20"/>
        </w:rPr>
        <w:t>)</w:t>
      </w:r>
    </w:p>
    <w:tbl>
      <w:tblPr>
        <w:tblStyle w:val="TableGrid"/>
        <w:tblW w:w="0" w:type="auto"/>
        <w:tblInd w:w="250" w:type="dxa"/>
        <w:tblLook w:val="04A0" w:firstRow="1" w:lastRow="0" w:firstColumn="1" w:lastColumn="0" w:noHBand="0" w:noVBand="1"/>
      </w:tblPr>
      <w:tblGrid>
        <w:gridCol w:w="1559"/>
        <w:gridCol w:w="2268"/>
      </w:tblGrid>
      <w:tr w:rsidR="00E437ED" w14:paraId="67561F8C" w14:textId="77777777" w:rsidTr="0056752C">
        <w:tc>
          <w:tcPr>
            <w:tcW w:w="1559" w:type="dxa"/>
          </w:tcPr>
          <w:p w14:paraId="14CE9894"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Company</w:t>
            </w:r>
          </w:p>
        </w:tc>
        <w:tc>
          <w:tcPr>
            <w:tcW w:w="2268" w:type="dxa"/>
          </w:tcPr>
          <w:p w14:paraId="54C010EC"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Percentage share</w:t>
            </w:r>
          </w:p>
        </w:tc>
      </w:tr>
      <w:tr w:rsidR="00E437ED" w14:paraId="52537A6E" w14:textId="77777777" w:rsidTr="0056752C">
        <w:tc>
          <w:tcPr>
            <w:tcW w:w="1559" w:type="dxa"/>
          </w:tcPr>
          <w:p w14:paraId="6E053AB0"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AB In Bev</w:t>
            </w:r>
          </w:p>
        </w:tc>
        <w:tc>
          <w:tcPr>
            <w:tcW w:w="2268" w:type="dxa"/>
          </w:tcPr>
          <w:p w14:paraId="59A9634E"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39.0</w:t>
            </w:r>
          </w:p>
        </w:tc>
      </w:tr>
      <w:tr w:rsidR="00E437ED" w14:paraId="19FCB73C" w14:textId="77777777" w:rsidTr="0056752C">
        <w:tc>
          <w:tcPr>
            <w:tcW w:w="1559" w:type="dxa"/>
          </w:tcPr>
          <w:p w14:paraId="678CB8A8"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SABMiller</w:t>
            </w:r>
          </w:p>
        </w:tc>
        <w:tc>
          <w:tcPr>
            <w:tcW w:w="2268" w:type="dxa"/>
          </w:tcPr>
          <w:p w14:paraId="1C94F80C"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17.9</w:t>
            </w:r>
          </w:p>
        </w:tc>
      </w:tr>
      <w:tr w:rsidR="00E437ED" w14:paraId="4204A7BD" w14:textId="77777777" w:rsidTr="0056752C">
        <w:tc>
          <w:tcPr>
            <w:tcW w:w="1559" w:type="dxa"/>
          </w:tcPr>
          <w:p w14:paraId="0F0E283B"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Heineken</w:t>
            </w:r>
          </w:p>
        </w:tc>
        <w:tc>
          <w:tcPr>
            <w:tcW w:w="2268" w:type="dxa"/>
          </w:tcPr>
          <w:p w14:paraId="2D2A1216"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11.6</w:t>
            </w:r>
          </w:p>
        </w:tc>
      </w:tr>
      <w:tr w:rsidR="00E437ED" w14:paraId="4E003CDC" w14:textId="77777777" w:rsidTr="0056752C">
        <w:tc>
          <w:tcPr>
            <w:tcW w:w="1559" w:type="dxa"/>
          </w:tcPr>
          <w:p w14:paraId="47A3DE05"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Carlsberg</w:t>
            </w:r>
          </w:p>
        </w:tc>
        <w:tc>
          <w:tcPr>
            <w:tcW w:w="2268" w:type="dxa"/>
          </w:tcPr>
          <w:p w14:paraId="74892FEB"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 xml:space="preserve">  4.6</w:t>
            </w:r>
          </w:p>
        </w:tc>
      </w:tr>
      <w:tr w:rsidR="00E437ED" w14:paraId="160D3385" w14:textId="77777777" w:rsidTr="0056752C">
        <w:tc>
          <w:tcPr>
            <w:tcW w:w="1559" w:type="dxa"/>
          </w:tcPr>
          <w:p w14:paraId="7A2BB2BD"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Asahi</w:t>
            </w:r>
          </w:p>
        </w:tc>
        <w:tc>
          <w:tcPr>
            <w:tcW w:w="2268" w:type="dxa"/>
          </w:tcPr>
          <w:p w14:paraId="7974EF4C"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 xml:space="preserve">  3.1</w:t>
            </w:r>
          </w:p>
        </w:tc>
      </w:tr>
      <w:tr w:rsidR="00E437ED" w14:paraId="61DA6EA1" w14:textId="77777777" w:rsidTr="0056752C">
        <w:tc>
          <w:tcPr>
            <w:tcW w:w="1559" w:type="dxa"/>
          </w:tcPr>
          <w:p w14:paraId="137E2101"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Moison Coors</w:t>
            </w:r>
          </w:p>
        </w:tc>
        <w:tc>
          <w:tcPr>
            <w:tcW w:w="2268" w:type="dxa"/>
          </w:tcPr>
          <w:p w14:paraId="68C4D2DE" w14:textId="77777777" w:rsidR="00E437ED" w:rsidRPr="009A42EC" w:rsidRDefault="00E437ED" w:rsidP="0056752C">
            <w:pPr>
              <w:pStyle w:val="NoSpacing"/>
              <w:rPr>
                <w:rFonts w:ascii="Times New Roman" w:hAnsi="Times New Roman"/>
                <w:sz w:val="20"/>
                <w:szCs w:val="20"/>
              </w:rPr>
            </w:pPr>
            <w:r>
              <w:rPr>
                <w:rFonts w:ascii="Times New Roman" w:hAnsi="Times New Roman"/>
                <w:sz w:val="20"/>
                <w:szCs w:val="20"/>
              </w:rPr>
              <w:t xml:space="preserve">  2.9</w:t>
            </w:r>
          </w:p>
        </w:tc>
      </w:tr>
      <w:tr w:rsidR="00E437ED" w14:paraId="6A8B9EAB" w14:textId="77777777" w:rsidTr="0056752C">
        <w:tc>
          <w:tcPr>
            <w:tcW w:w="1559" w:type="dxa"/>
          </w:tcPr>
          <w:p w14:paraId="13D30A7B"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Others</w:t>
            </w:r>
          </w:p>
        </w:tc>
        <w:tc>
          <w:tcPr>
            <w:tcW w:w="2268" w:type="dxa"/>
          </w:tcPr>
          <w:p w14:paraId="2245CB0E" w14:textId="77777777" w:rsidR="00E437ED" w:rsidRDefault="00E437ED" w:rsidP="0056752C">
            <w:pPr>
              <w:pStyle w:val="NoSpacing"/>
              <w:rPr>
                <w:rFonts w:ascii="Times New Roman" w:hAnsi="Times New Roman"/>
                <w:sz w:val="20"/>
                <w:szCs w:val="20"/>
              </w:rPr>
            </w:pPr>
            <w:r>
              <w:rPr>
                <w:rFonts w:ascii="Times New Roman" w:hAnsi="Times New Roman"/>
                <w:sz w:val="20"/>
                <w:szCs w:val="20"/>
              </w:rPr>
              <w:t>20.0</w:t>
            </w:r>
          </w:p>
        </w:tc>
      </w:tr>
    </w:tbl>
    <w:p w14:paraId="0952E403" w14:textId="77777777" w:rsidR="00E437ED" w:rsidRDefault="00E437ED" w:rsidP="00E437ED">
      <w:pPr>
        <w:pStyle w:val="NoSpacing"/>
        <w:rPr>
          <w:rFonts w:ascii="Times New Roman" w:hAnsi="Times New Roman"/>
          <w:sz w:val="24"/>
          <w:szCs w:val="24"/>
        </w:rPr>
      </w:pPr>
    </w:p>
    <w:p w14:paraId="4C01EB0E" w14:textId="77777777" w:rsidR="00E437ED" w:rsidRDefault="00E437ED" w:rsidP="00E437ED">
      <w:pPr>
        <w:pStyle w:val="NoSpacing"/>
        <w:rPr>
          <w:rFonts w:ascii="Times New Roman" w:hAnsi="Times New Roman"/>
          <w:sz w:val="24"/>
          <w:szCs w:val="24"/>
        </w:rPr>
      </w:pPr>
      <w:r>
        <w:rPr>
          <w:rFonts w:ascii="Times New Roman" w:hAnsi="Times New Roman"/>
          <w:sz w:val="24"/>
          <w:szCs w:val="24"/>
        </w:rPr>
        <w:t>What next?</w:t>
      </w:r>
    </w:p>
    <w:p w14:paraId="00A3591F" w14:textId="77777777" w:rsidR="00E437ED" w:rsidRDefault="00E437ED" w:rsidP="00E437ED">
      <w:r>
        <w:t xml:space="preserve">SABMiller had agreed to the takeover by AB InBev but whether this was the best strategic option for the company was not clear.  It was also important to consider other options in case the bid failed to close due to regulatory t\hurdles, of which there was approximately a 27% chance, and SABMiller remained independent. Nevertheless, assuming the bid did close both SABMiller and AB InBev had to consider what a successful bid might mean for the combined business going forwards.  How might SABMiller be integrated effectively into the new group? Would the integration strategy destroy valuable SABMiller heritage or enhance its value? How would the new company compete in the future?  </w:t>
      </w:r>
    </w:p>
    <w:p w14:paraId="159EB65B" w14:textId="77777777" w:rsidR="00E437ED" w:rsidRDefault="00E437ED" w:rsidP="00E437ED">
      <w:r>
        <w:t>Whilst SABMiller and AB InBev wrestled with satisfying regulators and planning for integration, the beer market seemed to have fewer opportunities for expansion; large transformational deals were hard to find and with lower prospects of high financial returns. The other global brewers were increasingly looking for growth from emerging markets as beer sales slowed in more developed consumer markets.  Heineken was pursuing growth in Africa and Carlsberg aimed to expand into Asia.  Japanese brewers were also becoming increasingly active in the Asian market.  The added complication of the economic recession had also impacted on all beer markets, albeit with different degrees of severity.  For all companies there were questions about the emphasis placed on local vs. global brands in their portfolios. Should they consider entering more profitable beverage segments?  Could there be yet another market changing deal that should be shaped to win the battle in beer?</w:t>
      </w:r>
    </w:p>
    <w:p w14:paraId="04C68E77" w14:textId="77777777" w:rsidR="00E437ED" w:rsidRDefault="00E437ED" w:rsidP="00E437ED"/>
    <w:p w14:paraId="50541C32" w14:textId="77777777" w:rsidR="00E437ED" w:rsidRDefault="00E437ED" w:rsidP="00E437ED"/>
    <w:p w14:paraId="45CA8BC2" w14:textId="77777777" w:rsidR="00E437ED" w:rsidRDefault="00E437ED" w:rsidP="00E437ED"/>
    <w:p w14:paraId="06606EB1" w14:textId="77777777" w:rsidR="00E437ED" w:rsidRDefault="00E437ED" w:rsidP="00E437ED"/>
    <w:p w14:paraId="3C832E47" w14:textId="77777777" w:rsidR="00E437ED" w:rsidRDefault="00E437ED" w:rsidP="00E437ED">
      <w:pPr>
        <w:pStyle w:val="NoSpacing"/>
      </w:pPr>
      <w:r>
        <w:lastRenderedPageBreak/>
        <w:t>SABMiller financial summary (</w:t>
      </w:r>
      <w:proofErr w:type="spellStart"/>
      <w:r>
        <w:t>US$m</w:t>
      </w:r>
      <w:proofErr w:type="spellEnd"/>
      <w:r>
        <w:t>) for years ended 31 March</w:t>
      </w:r>
    </w:p>
    <w:tbl>
      <w:tblPr>
        <w:tblStyle w:val="TableGrid"/>
        <w:tblW w:w="0" w:type="auto"/>
        <w:tblInd w:w="108" w:type="dxa"/>
        <w:tblLook w:val="04A0" w:firstRow="1" w:lastRow="0" w:firstColumn="1" w:lastColumn="0" w:noHBand="0" w:noVBand="1"/>
      </w:tblPr>
      <w:tblGrid>
        <w:gridCol w:w="4049"/>
        <w:gridCol w:w="913"/>
        <w:gridCol w:w="850"/>
        <w:gridCol w:w="992"/>
        <w:gridCol w:w="993"/>
        <w:gridCol w:w="850"/>
      </w:tblGrid>
      <w:tr w:rsidR="00E437ED" w14:paraId="1FFE6929" w14:textId="77777777" w:rsidTr="0056752C">
        <w:tc>
          <w:tcPr>
            <w:tcW w:w="4049" w:type="dxa"/>
          </w:tcPr>
          <w:p w14:paraId="0F93398E" w14:textId="77777777" w:rsidR="00E437ED" w:rsidRPr="009C64FE" w:rsidRDefault="00E437ED" w:rsidP="0056752C">
            <w:pPr>
              <w:rPr>
                <w:rFonts w:ascii="Times New Roman" w:hAnsi="Times New Roman"/>
                <w:sz w:val="20"/>
                <w:szCs w:val="20"/>
              </w:rPr>
            </w:pPr>
          </w:p>
        </w:tc>
        <w:tc>
          <w:tcPr>
            <w:tcW w:w="913" w:type="dxa"/>
          </w:tcPr>
          <w:p w14:paraId="1E13B54F" w14:textId="77777777" w:rsidR="00E437ED" w:rsidRPr="009C64FE" w:rsidRDefault="00E437ED" w:rsidP="0056752C">
            <w:pPr>
              <w:rPr>
                <w:rFonts w:ascii="Times New Roman" w:hAnsi="Times New Roman"/>
                <w:sz w:val="20"/>
                <w:szCs w:val="20"/>
              </w:rPr>
            </w:pPr>
            <w:r>
              <w:rPr>
                <w:rFonts w:ascii="Times New Roman" w:hAnsi="Times New Roman"/>
                <w:sz w:val="20"/>
                <w:szCs w:val="20"/>
              </w:rPr>
              <w:t>2015</w:t>
            </w:r>
          </w:p>
        </w:tc>
        <w:tc>
          <w:tcPr>
            <w:tcW w:w="850" w:type="dxa"/>
          </w:tcPr>
          <w:p w14:paraId="751F5E6E" w14:textId="77777777" w:rsidR="00E437ED" w:rsidRPr="009C64FE" w:rsidRDefault="00E437ED" w:rsidP="0056752C">
            <w:pPr>
              <w:rPr>
                <w:rFonts w:ascii="Times New Roman" w:hAnsi="Times New Roman"/>
                <w:sz w:val="20"/>
                <w:szCs w:val="20"/>
              </w:rPr>
            </w:pPr>
            <w:r>
              <w:rPr>
                <w:rFonts w:ascii="Times New Roman" w:hAnsi="Times New Roman"/>
                <w:sz w:val="20"/>
                <w:szCs w:val="20"/>
              </w:rPr>
              <w:t>2014</w:t>
            </w:r>
          </w:p>
        </w:tc>
        <w:tc>
          <w:tcPr>
            <w:tcW w:w="992" w:type="dxa"/>
          </w:tcPr>
          <w:p w14:paraId="4F768DC8" w14:textId="77777777" w:rsidR="00E437ED" w:rsidRPr="009C64FE" w:rsidRDefault="00E437ED" w:rsidP="0056752C">
            <w:pPr>
              <w:rPr>
                <w:rFonts w:ascii="Times New Roman" w:hAnsi="Times New Roman"/>
                <w:sz w:val="20"/>
                <w:szCs w:val="20"/>
              </w:rPr>
            </w:pPr>
            <w:r>
              <w:rPr>
                <w:rFonts w:ascii="Times New Roman" w:hAnsi="Times New Roman"/>
                <w:sz w:val="20"/>
                <w:szCs w:val="20"/>
              </w:rPr>
              <w:t>2013</w:t>
            </w:r>
          </w:p>
        </w:tc>
        <w:tc>
          <w:tcPr>
            <w:tcW w:w="993" w:type="dxa"/>
          </w:tcPr>
          <w:p w14:paraId="122A1A2F" w14:textId="77777777" w:rsidR="00E437ED" w:rsidRPr="009C64FE" w:rsidRDefault="00E437ED" w:rsidP="0056752C">
            <w:pPr>
              <w:rPr>
                <w:rFonts w:ascii="Times New Roman" w:hAnsi="Times New Roman"/>
                <w:sz w:val="20"/>
                <w:szCs w:val="20"/>
              </w:rPr>
            </w:pPr>
            <w:r>
              <w:rPr>
                <w:rFonts w:ascii="Times New Roman" w:hAnsi="Times New Roman"/>
                <w:sz w:val="20"/>
                <w:szCs w:val="20"/>
              </w:rPr>
              <w:t>2012</w:t>
            </w:r>
          </w:p>
        </w:tc>
        <w:tc>
          <w:tcPr>
            <w:tcW w:w="850" w:type="dxa"/>
          </w:tcPr>
          <w:p w14:paraId="743B3F75" w14:textId="77777777" w:rsidR="00E437ED" w:rsidRDefault="00E437ED" w:rsidP="0056752C">
            <w:pPr>
              <w:rPr>
                <w:rFonts w:ascii="Times New Roman" w:hAnsi="Times New Roman"/>
                <w:sz w:val="20"/>
                <w:szCs w:val="20"/>
              </w:rPr>
            </w:pPr>
            <w:r>
              <w:rPr>
                <w:rFonts w:ascii="Times New Roman" w:hAnsi="Times New Roman"/>
                <w:sz w:val="20"/>
                <w:szCs w:val="20"/>
              </w:rPr>
              <w:t>2011</w:t>
            </w:r>
          </w:p>
        </w:tc>
      </w:tr>
      <w:tr w:rsidR="00E437ED" w14:paraId="34187ACE" w14:textId="77777777" w:rsidTr="0056752C">
        <w:tc>
          <w:tcPr>
            <w:tcW w:w="4049" w:type="dxa"/>
          </w:tcPr>
          <w:p w14:paraId="7E1514E5" w14:textId="77777777" w:rsidR="00E437ED" w:rsidRPr="009C64FE" w:rsidRDefault="00E437ED" w:rsidP="0056752C">
            <w:pPr>
              <w:rPr>
                <w:rFonts w:ascii="Times New Roman" w:hAnsi="Times New Roman"/>
                <w:sz w:val="20"/>
                <w:szCs w:val="20"/>
              </w:rPr>
            </w:pPr>
            <w:r>
              <w:rPr>
                <w:rFonts w:ascii="Times New Roman" w:hAnsi="Times New Roman"/>
                <w:sz w:val="20"/>
                <w:szCs w:val="20"/>
              </w:rPr>
              <w:t>Income Statements</w:t>
            </w:r>
          </w:p>
        </w:tc>
        <w:tc>
          <w:tcPr>
            <w:tcW w:w="913" w:type="dxa"/>
          </w:tcPr>
          <w:p w14:paraId="09CF8E94" w14:textId="77777777" w:rsidR="00E437ED" w:rsidRPr="009C64FE" w:rsidRDefault="00E437ED" w:rsidP="0056752C">
            <w:pPr>
              <w:rPr>
                <w:rFonts w:ascii="Times New Roman" w:hAnsi="Times New Roman"/>
                <w:sz w:val="20"/>
                <w:szCs w:val="20"/>
              </w:rPr>
            </w:pPr>
          </w:p>
        </w:tc>
        <w:tc>
          <w:tcPr>
            <w:tcW w:w="850" w:type="dxa"/>
          </w:tcPr>
          <w:p w14:paraId="7A9D8121" w14:textId="77777777" w:rsidR="00E437ED" w:rsidRPr="009C64FE" w:rsidRDefault="00E437ED" w:rsidP="0056752C">
            <w:pPr>
              <w:rPr>
                <w:rFonts w:ascii="Times New Roman" w:hAnsi="Times New Roman"/>
                <w:sz w:val="20"/>
                <w:szCs w:val="20"/>
              </w:rPr>
            </w:pPr>
          </w:p>
        </w:tc>
        <w:tc>
          <w:tcPr>
            <w:tcW w:w="992" w:type="dxa"/>
          </w:tcPr>
          <w:p w14:paraId="076FC621" w14:textId="77777777" w:rsidR="00E437ED" w:rsidRPr="009C64FE" w:rsidRDefault="00E437ED" w:rsidP="0056752C">
            <w:pPr>
              <w:rPr>
                <w:rFonts w:ascii="Times New Roman" w:hAnsi="Times New Roman"/>
                <w:sz w:val="20"/>
                <w:szCs w:val="20"/>
              </w:rPr>
            </w:pPr>
          </w:p>
        </w:tc>
        <w:tc>
          <w:tcPr>
            <w:tcW w:w="993" w:type="dxa"/>
          </w:tcPr>
          <w:p w14:paraId="66108C45" w14:textId="77777777" w:rsidR="00E437ED" w:rsidRPr="009C64FE" w:rsidRDefault="00E437ED" w:rsidP="0056752C">
            <w:pPr>
              <w:rPr>
                <w:rFonts w:ascii="Times New Roman" w:hAnsi="Times New Roman"/>
                <w:sz w:val="20"/>
                <w:szCs w:val="20"/>
              </w:rPr>
            </w:pPr>
          </w:p>
        </w:tc>
        <w:tc>
          <w:tcPr>
            <w:tcW w:w="850" w:type="dxa"/>
          </w:tcPr>
          <w:p w14:paraId="23E21A52" w14:textId="77777777" w:rsidR="00E437ED" w:rsidRPr="009C64FE" w:rsidRDefault="00E437ED" w:rsidP="0056752C">
            <w:pPr>
              <w:rPr>
                <w:rFonts w:ascii="Times New Roman" w:hAnsi="Times New Roman"/>
                <w:sz w:val="20"/>
                <w:szCs w:val="20"/>
              </w:rPr>
            </w:pPr>
          </w:p>
        </w:tc>
      </w:tr>
      <w:tr w:rsidR="00E437ED" w14:paraId="5E4DF09F" w14:textId="77777777" w:rsidTr="0056752C">
        <w:tc>
          <w:tcPr>
            <w:tcW w:w="4049" w:type="dxa"/>
          </w:tcPr>
          <w:p w14:paraId="2A2C0176" w14:textId="77777777" w:rsidR="00E437ED" w:rsidRPr="009C64FE" w:rsidRDefault="00E437ED" w:rsidP="0056752C">
            <w:pPr>
              <w:rPr>
                <w:rFonts w:ascii="Times New Roman" w:hAnsi="Times New Roman"/>
                <w:sz w:val="20"/>
                <w:szCs w:val="20"/>
              </w:rPr>
            </w:pPr>
            <w:r>
              <w:rPr>
                <w:rFonts w:ascii="Times New Roman" w:hAnsi="Times New Roman"/>
                <w:sz w:val="20"/>
                <w:szCs w:val="20"/>
              </w:rPr>
              <w:t>Group revenue</w:t>
            </w:r>
          </w:p>
        </w:tc>
        <w:tc>
          <w:tcPr>
            <w:tcW w:w="913" w:type="dxa"/>
          </w:tcPr>
          <w:p w14:paraId="7540D06C" w14:textId="77777777" w:rsidR="00E437ED" w:rsidRPr="009C64FE" w:rsidRDefault="00E437ED" w:rsidP="0056752C">
            <w:pPr>
              <w:rPr>
                <w:rFonts w:ascii="Times New Roman" w:hAnsi="Times New Roman"/>
                <w:sz w:val="20"/>
                <w:szCs w:val="20"/>
              </w:rPr>
            </w:pPr>
            <w:r>
              <w:rPr>
                <w:rFonts w:ascii="Times New Roman" w:hAnsi="Times New Roman"/>
                <w:sz w:val="20"/>
                <w:szCs w:val="20"/>
              </w:rPr>
              <w:t>33,558</w:t>
            </w:r>
          </w:p>
        </w:tc>
        <w:tc>
          <w:tcPr>
            <w:tcW w:w="850" w:type="dxa"/>
          </w:tcPr>
          <w:p w14:paraId="5288C727" w14:textId="77777777" w:rsidR="00E437ED" w:rsidRPr="009C64FE" w:rsidRDefault="00E437ED" w:rsidP="0056752C">
            <w:pPr>
              <w:rPr>
                <w:rFonts w:ascii="Times New Roman" w:hAnsi="Times New Roman"/>
                <w:sz w:val="20"/>
                <w:szCs w:val="20"/>
              </w:rPr>
            </w:pPr>
            <w:r>
              <w:rPr>
                <w:rFonts w:ascii="Times New Roman" w:hAnsi="Times New Roman"/>
                <w:sz w:val="20"/>
                <w:szCs w:val="20"/>
              </w:rPr>
              <w:t>34,087</w:t>
            </w:r>
          </w:p>
        </w:tc>
        <w:tc>
          <w:tcPr>
            <w:tcW w:w="992" w:type="dxa"/>
          </w:tcPr>
          <w:p w14:paraId="644D1030" w14:textId="77777777" w:rsidR="00E437ED" w:rsidRPr="009C64FE" w:rsidRDefault="00E437ED" w:rsidP="0056752C">
            <w:pPr>
              <w:rPr>
                <w:rFonts w:ascii="Times New Roman" w:hAnsi="Times New Roman"/>
                <w:sz w:val="20"/>
                <w:szCs w:val="20"/>
              </w:rPr>
            </w:pPr>
            <w:r>
              <w:rPr>
                <w:rFonts w:ascii="Times New Roman" w:hAnsi="Times New Roman"/>
                <w:sz w:val="20"/>
                <w:szCs w:val="20"/>
              </w:rPr>
              <w:t>34,487</w:t>
            </w:r>
          </w:p>
        </w:tc>
        <w:tc>
          <w:tcPr>
            <w:tcW w:w="993" w:type="dxa"/>
          </w:tcPr>
          <w:p w14:paraId="7B72E64A" w14:textId="77777777" w:rsidR="00E437ED" w:rsidRPr="009C64FE" w:rsidRDefault="00E437ED" w:rsidP="0056752C">
            <w:pPr>
              <w:rPr>
                <w:rFonts w:ascii="Times New Roman" w:hAnsi="Times New Roman"/>
                <w:sz w:val="20"/>
                <w:szCs w:val="20"/>
              </w:rPr>
            </w:pPr>
            <w:r>
              <w:rPr>
                <w:rFonts w:ascii="Times New Roman" w:hAnsi="Times New Roman"/>
                <w:sz w:val="20"/>
                <w:szCs w:val="20"/>
              </w:rPr>
              <w:t>31,388</w:t>
            </w:r>
          </w:p>
        </w:tc>
        <w:tc>
          <w:tcPr>
            <w:tcW w:w="850" w:type="dxa"/>
          </w:tcPr>
          <w:p w14:paraId="01F99175" w14:textId="77777777" w:rsidR="00E437ED" w:rsidRPr="009C64FE" w:rsidRDefault="00E437ED" w:rsidP="0056752C">
            <w:pPr>
              <w:rPr>
                <w:rFonts w:ascii="Times New Roman" w:hAnsi="Times New Roman"/>
                <w:sz w:val="20"/>
                <w:szCs w:val="20"/>
              </w:rPr>
            </w:pPr>
            <w:r>
              <w:rPr>
                <w:rFonts w:ascii="Times New Roman" w:hAnsi="Times New Roman"/>
                <w:sz w:val="20"/>
                <w:szCs w:val="20"/>
              </w:rPr>
              <w:t>28,311</w:t>
            </w:r>
          </w:p>
        </w:tc>
      </w:tr>
      <w:tr w:rsidR="00E437ED" w14:paraId="19DF700A" w14:textId="77777777" w:rsidTr="0056752C">
        <w:tc>
          <w:tcPr>
            <w:tcW w:w="4049" w:type="dxa"/>
          </w:tcPr>
          <w:p w14:paraId="6F14E9AA" w14:textId="77777777" w:rsidR="00E437ED" w:rsidRPr="009C64FE" w:rsidRDefault="00E437ED" w:rsidP="0056752C">
            <w:pPr>
              <w:rPr>
                <w:rFonts w:ascii="Times New Roman" w:hAnsi="Times New Roman"/>
                <w:sz w:val="20"/>
                <w:szCs w:val="20"/>
              </w:rPr>
            </w:pPr>
            <w:r>
              <w:rPr>
                <w:rFonts w:ascii="Times New Roman" w:hAnsi="Times New Roman"/>
                <w:sz w:val="20"/>
                <w:szCs w:val="20"/>
              </w:rPr>
              <w:t>Revenue</w:t>
            </w:r>
          </w:p>
        </w:tc>
        <w:tc>
          <w:tcPr>
            <w:tcW w:w="913" w:type="dxa"/>
          </w:tcPr>
          <w:p w14:paraId="105510CD" w14:textId="77777777" w:rsidR="00E437ED" w:rsidRPr="009C64FE" w:rsidRDefault="00E437ED" w:rsidP="0056752C">
            <w:pPr>
              <w:rPr>
                <w:rFonts w:ascii="Times New Roman" w:hAnsi="Times New Roman"/>
                <w:sz w:val="20"/>
                <w:szCs w:val="20"/>
              </w:rPr>
            </w:pPr>
            <w:r>
              <w:rPr>
                <w:rFonts w:ascii="Times New Roman" w:hAnsi="Times New Roman"/>
                <w:sz w:val="20"/>
                <w:szCs w:val="20"/>
              </w:rPr>
              <w:t>22,130</w:t>
            </w:r>
          </w:p>
        </w:tc>
        <w:tc>
          <w:tcPr>
            <w:tcW w:w="850" w:type="dxa"/>
          </w:tcPr>
          <w:p w14:paraId="2A724DA2" w14:textId="77777777" w:rsidR="00E437ED" w:rsidRPr="009C64FE" w:rsidRDefault="00E437ED" w:rsidP="0056752C">
            <w:pPr>
              <w:rPr>
                <w:rFonts w:ascii="Times New Roman" w:hAnsi="Times New Roman"/>
                <w:sz w:val="20"/>
                <w:szCs w:val="20"/>
              </w:rPr>
            </w:pPr>
            <w:r>
              <w:rPr>
                <w:rFonts w:ascii="Times New Roman" w:hAnsi="Times New Roman"/>
                <w:sz w:val="20"/>
                <w:szCs w:val="20"/>
              </w:rPr>
              <w:t>22,311</w:t>
            </w:r>
          </w:p>
        </w:tc>
        <w:tc>
          <w:tcPr>
            <w:tcW w:w="992" w:type="dxa"/>
          </w:tcPr>
          <w:p w14:paraId="7E190C6D" w14:textId="77777777" w:rsidR="00E437ED" w:rsidRPr="009C64FE" w:rsidRDefault="00E437ED" w:rsidP="0056752C">
            <w:pPr>
              <w:rPr>
                <w:rFonts w:ascii="Times New Roman" w:hAnsi="Times New Roman"/>
                <w:sz w:val="20"/>
                <w:szCs w:val="20"/>
              </w:rPr>
            </w:pPr>
            <w:r>
              <w:rPr>
                <w:rFonts w:ascii="Times New Roman" w:hAnsi="Times New Roman"/>
                <w:sz w:val="20"/>
                <w:szCs w:val="20"/>
              </w:rPr>
              <w:t>23,213</w:t>
            </w:r>
          </w:p>
        </w:tc>
        <w:tc>
          <w:tcPr>
            <w:tcW w:w="993" w:type="dxa"/>
          </w:tcPr>
          <w:p w14:paraId="21FEA3DE" w14:textId="77777777" w:rsidR="00E437ED" w:rsidRPr="009C64FE" w:rsidRDefault="00E437ED" w:rsidP="0056752C">
            <w:pPr>
              <w:rPr>
                <w:rFonts w:ascii="Times New Roman" w:hAnsi="Times New Roman"/>
                <w:sz w:val="20"/>
                <w:szCs w:val="20"/>
              </w:rPr>
            </w:pPr>
            <w:r>
              <w:rPr>
                <w:rFonts w:ascii="Times New Roman" w:hAnsi="Times New Roman"/>
                <w:sz w:val="20"/>
                <w:szCs w:val="20"/>
              </w:rPr>
              <w:t>21,760</w:t>
            </w:r>
          </w:p>
        </w:tc>
        <w:tc>
          <w:tcPr>
            <w:tcW w:w="850" w:type="dxa"/>
          </w:tcPr>
          <w:p w14:paraId="40E12F46" w14:textId="77777777" w:rsidR="00E437ED" w:rsidRPr="009C64FE" w:rsidRDefault="00E437ED" w:rsidP="0056752C">
            <w:pPr>
              <w:rPr>
                <w:rFonts w:ascii="Times New Roman" w:hAnsi="Times New Roman"/>
                <w:sz w:val="20"/>
                <w:szCs w:val="20"/>
              </w:rPr>
            </w:pPr>
            <w:r>
              <w:rPr>
                <w:rFonts w:ascii="Times New Roman" w:hAnsi="Times New Roman"/>
                <w:sz w:val="20"/>
                <w:szCs w:val="20"/>
              </w:rPr>
              <w:t>19,408</w:t>
            </w:r>
          </w:p>
        </w:tc>
      </w:tr>
      <w:tr w:rsidR="00E437ED" w14:paraId="2E463325" w14:textId="77777777" w:rsidTr="0056752C">
        <w:tc>
          <w:tcPr>
            <w:tcW w:w="4049" w:type="dxa"/>
          </w:tcPr>
          <w:p w14:paraId="2BDA00C8" w14:textId="77777777" w:rsidR="00E437ED" w:rsidRPr="009C64FE" w:rsidRDefault="00E437ED" w:rsidP="0056752C">
            <w:pPr>
              <w:rPr>
                <w:rFonts w:ascii="Times New Roman" w:hAnsi="Times New Roman"/>
                <w:sz w:val="20"/>
                <w:szCs w:val="20"/>
              </w:rPr>
            </w:pPr>
            <w:r>
              <w:rPr>
                <w:rFonts w:ascii="Times New Roman" w:hAnsi="Times New Roman"/>
                <w:sz w:val="20"/>
                <w:szCs w:val="20"/>
              </w:rPr>
              <w:t>Operating profit</w:t>
            </w:r>
          </w:p>
        </w:tc>
        <w:tc>
          <w:tcPr>
            <w:tcW w:w="913" w:type="dxa"/>
          </w:tcPr>
          <w:p w14:paraId="655CC7A1"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4,384</w:t>
            </w:r>
          </w:p>
        </w:tc>
        <w:tc>
          <w:tcPr>
            <w:tcW w:w="850" w:type="dxa"/>
          </w:tcPr>
          <w:p w14:paraId="33635690"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4,242</w:t>
            </w:r>
          </w:p>
        </w:tc>
        <w:tc>
          <w:tcPr>
            <w:tcW w:w="992" w:type="dxa"/>
          </w:tcPr>
          <w:p w14:paraId="04FC9B72"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4,192</w:t>
            </w:r>
          </w:p>
        </w:tc>
        <w:tc>
          <w:tcPr>
            <w:tcW w:w="993" w:type="dxa"/>
          </w:tcPr>
          <w:p w14:paraId="69E422AD"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5,013</w:t>
            </w:r>
          </w:p>
        </w:tc>
        <w:tc>
          <w:tcPr>
            <w:tcW w:w="850" w:type="dxa"/>
          </w:tcPr>
          <w:p w14:paraId="701344E0"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3,127</w:t>
            </w:r>
          </w:p>
        </w:tc>
      </w:tr>
      <w:tr w:rsidR="00E437ED" w14:paraId="2D31239E" w14:textId="77777777" w:rsidTr="0056752C">
        <w:tc>
          <w:tcPr>
            <w:tcW w:w="4049" w:type="dxa"/>
          </w:tcPr>
          <w:p w14:paraId="5624F053" w14:textId="77777777" w:rsidR="00E437ED" w:rsidRPr="009C64FE" w:rsidRDefault="00E437ED" w:rsidP="0056752C">
            <w:pPr>
              <w:rPr>
                <w:rFonts w:ascii="Times New Roman" w:hAnsi="Times New Roman"/>
                <w:sz w:val="20"/>
                <w:szCs w:val="20"/>
              </w:rPr>
            </w:pPr>
            <w:r>
              <w:rPr>
                <w:rFonts w:ascii="Times New Roman" w:hAnsi="Times New Roman"/>
                <w:sz w:val="20"/>
                <w:szCs w:val="20"/>
              </w:rPr>
              <w:t>Net finance costs</w:t>
            </w:r>
          </w:p>
        </w:tc>
        <w:tc>
          <w:tcPr>
            <w:tcW w:w="913" w:type="dxa"/>
          </w:tcPr>
          <w:p w14:paraId="622490D8"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-637</w:t>
            </w:r>
          </w:p>
        </w:tc>
        <w:tc>
          <w:tcPr>
            <w:tcW w:w="850" w:type="dxa"/>
          </w:tcPr>
          <w:p w14:paraId="2FD58F81"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-645</w:t>
            </w:r>
          </w:p>
        </w:tc>
        <w:tc>
          <w:tcPr>
            <w:tcW w:w="992" w:type="dxa"/>
          </w:tcPr>
          <w:p w14:paraId="2EEF03F5"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-726</w:t>
            </w:r>
          </w:p>
        </w:tc>
        <w:tc>
          <w:tcPr>
            <w:tcW w:w="993" w:type="dxa"/>
          </w:tcPr>
          <w:p w14:paraId="22779B68"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-562</w:t>
            </w:r>
          </w:p>
        </w:tc>
        <w:tc>
          <w:tcPr>
            <w:tcW w:w="850" w:type="dxa"/>
          </w:tcPr>
          <w:p w14:paraId="6191B09B"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-525</w:t>
            </w:r>
          </w:p>
        </w:tc>
      </w:tr>
      <w:tr w:rsidR="00E437ED" w14:paraId="7DF4F24C" w14:textId="77777777" w:rsidTr="0056752C">
        <w:tc>
          <w:tcPr>
            <w:tcW w:w="4049" w:type="dxa"/>
          </w:tcPr>
          <w:p w14:paraId="51304129" w14:textId="77777777" w:rsidR="00E437ED" w:rsidRPr="009C64FE" w:rsidRDefault="00E437ED" w:rsidP="0056752C">
            <w:pPr>
              <w:rPr>
                <w:rFonts w:ascii="Times New Roman" w:hAnsi="Times New Roman"/>
                <w:sz w:val="20"/>
                <w:szCs w:val="20"/>
              </w:rPr>
            </w:pPr>
            <w:r>
              <w:rPr>
                <w:rFonts w:ascii="Times New Roman" w:hAnsi="Times New Roman"/>
                <w:sz w:val="20"/>
                <w:szCs w:val="20"/>
              </w:rPr>
              <w:t>Share of associates’ and joint venture’ post tax results</w:t>
            </w:r>
          </w:p>
        </w:tc>
        <w:tc>
          <w:tcPr>
            <w:tcW w:w="913" w:type="dxa"/>
          </w:tcPr>
          <w:p w14:paraId="434096CA"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1,083</w:t>
            </w:r>
          </w:p>
        </w:tc>
        <w:tc>
          <w:tcPr>
            <w:tcW w:w="850" w:type="dxa"/>
          </w:tcPr>
          <w:p w14:paraId="1FE59582"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1,226</w:t>
            </w:r>
          </w:p>
        </w:tc>
        <w:tc>
          <w:tcPr>
            <w:tcW w:w="992" w:type="dxa"/>
          </w:tcPr>
          <w:p w14:paraId="45A552B3"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1,213</w:t>
            </w:r>
          </w:p>
        </w:tc>
        <w:tc>
          <w:tcPr>
            <w:tcW w:w="993" w:type="dxa"/>
          </w:tcPr>
          <w:p w14:paraId="726278E3"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1,152</w:t>
            </w:r>
          </w:p>
        </w:tc>
        <w:tc>
          <w:tcPr>
            <w:tcW w:w="850" w:type="dxa"/>
          </w:tcPr>
          <w:p w14:paraId="46C490D4"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1,024</w:t>
            </w:r>
          </w:p>
        </w:tc>
      </w:tr>
      <w:tr w:rsidR="00E437ED" w14:paraId="420E83D6" w14:textId="77777777" w:rsidTr="0056752C">
        <w:tc>
          <w:tcPr>
            <w:tcW w:w="4049" w:type="dxa"/>
          </w:tcPr>
          <w:p w14:paraId="39005348" w14:textId="77777777" w:rsidR="00E437ED" w:rsidRPr="009C64FE" w:rsidRDefault="00E437ED" w:rsidP="0056752C">
            <w:pPr>
              <w:rPr>
                <w:rFonts w:ascii="Times New Roman" w:hAnsi="Times New Roman"/>
                <w:sz w:val="20"/>
                <w:szCs w:val="20"/>
              </w:rPr>
            </w:pPr>
            <w:r>
              <w:rPr>
                <w:rFonts w:ascii="Times New Roman" w:hAnsi="Times New Roman"/>
                <w:sz w:val="20"/>
                <w:szCs w:val="20"/>
              </w:rPr>
              <w:t>Taxation</w:t>
            </w:r>
          </w:p>
        </w:tc>
        <w:tc>
          <w:tcPr>
            <w:tcW w:w="913" w:type="dxa"/>
          </w:tcPr>
          <w:p w14:paraId="5C87CCCB"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-1,273</w:t>
            </w:r>
          </w:p>
        </w:tc>
        <w:tc>
          <w:tcPr>
            <w:tcW w:w="850" w:type="dxa"/>
          </w:tcPr>
          <w:p w14:paraId="60C86734"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-1,173</w:t>
            </w:r>
          </w:p>
        </w:tc>
        <w:tc>
          <w:tcPr>
            <w:tcW w:w="992" w:type="dxa"/>
          </w:tcPr>
          <w:p w14:paraId="032C1F78"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-1,192</w:t>
            </w:r>
          </w:p>
        </w:tc>
        <w:tc>
          <w:tcPr>
            <w:tcW w:w="993" w:type="dxa"/>
          </w:tcPr>
          <w:p w14:paraId="4EBFEF72"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-1,126</w:t>
            </w:r>
          </w:p>
        </w:tc>
        <w:tc>
          <w:tcPr>
            <w:tcW w:w="850" w:type="dxa"/>
          </w:tcPr>
          <w:p w14:paraId="3451D2BE"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-1,069</w:t>
            </w:r>
          </w:p>
        </w:tc>
      </w:tr>
      <w:tr w:rsidR="00E437ED" w14:paraId="333042A0" w14:textId="77777777" w:rsidTr="0056752C">
        <w:tc>
          <w:tcPr>
            <w:tcW w:w="4049" w:type="dxa"/>
          </w:tcPr>
          <w:p w14:paraId="41E48727" w14:textId="77777777" w:rsidR="00E437ED" w:rsidRPr="009C64FE" w:rsidRDefault="00E437ED" w:rsidP="0056752C">
            <w:pPr>
              <w:rPr>
                <w:rFonts w:ascii="Times New Roman" w:hAnsi="Times New Roman"/>
                <w:sz w:val="20"/>
                <w:szCs w:val="20"/>
              </w:rPr>
            </w:pPr>
            <w:r>
              <w:rPr>
                <w:rFonts w:ascii="Times New Roman" w:hAnsi="Times New Roman"/>
                <w:sz w:val="20"/>
                <w:szCs w:val="20"/>
              </w:rPr>
              <w:t>Minority interests</w:t>
            </w:r>
          </w:p>
        </w:tc>
        <w:tc>
          <w:tcPr>
            <w:tcW w:w="913" w:type="dxa"/>
          </w:tcPr>
          <w:p w14:paraId="7721B7E9"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-258</w:t>
            </w:r>
          </w:p>
        </w:tc>
        <w:tc>
          <w:tcPr>
            <w:tcW w:w="850" w:type="dxa"/>
          </w:tcPr>
          <w:p w14:paraId="63995031"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-269</w:t>
            </w:r>
          </w:p>
        </w:tc>
        <w:tc>
          <w:tcPr>
            <w:tcW w:w="992" w:type="dxa"/>
          </w:tcPr>
          <w:p w14:paraId="0BA64D08"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-237</w:t>
            </w:r>
          </w:p>
        </w:tc>
        <w:tc>
          <w:tcPr>
            <w:tcW w:w="993" w:type="dxa"/>
          </w:tcPr>
          <w:p w14:paraId="05E5EE99"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-256</w:t>
            </w:r>
          </w:p>
        </w:tc>
        <w:tc>
          <w:tcPr>
            <w:tcW w:w="850" w:type="dxa"/>
          </w:tcPr>
          <w:p w14:paraId="60FF0A05"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--149</w:t>
            </w:r>
          </w:p>
        </w:tc>
      </w:tr>
      <w:tr w:rsidR="00E437ED" w14:paraId="734C0C3C" w14:textId="77777777" w:rsidTr="0056752C">
        <w:tc>
          <w:tcPr>
            <w:tcW w:w="4049" w:type="dxa"/>
          </w:tcPr>
          <w:p w14:paraId="5D78C1AD" w14:textId="77777777" w:rsidR="00E437ED" w:rsidRPr="009C64FE" w:rsidRDefault="00E437ED" w:rsidP="0056752C">
            <w:pPr>
              <w:rPr>
                <w:rFonts w:ascii="Times New Roman" w:hAnsi="Times New Roman"/>
                <w:sz w:val="20"/>
                <w:szCs w:val="20"/>
              </w:rPr>
            </w:pPr>
            <w:r>
              <w:rPr>
                <w:rFonts w:ascii="Times New Roman" w:hAnsi="Times New Roman"/>
                <w:sz w:val="20"/>
                <w:szCs w:val="20"/>
              </w:rPr>
              <w:t>Profit for the year</w:t>
            </w:r>
          </w:p>
        </w:tc>
        <w:tc>
          <w:tcPr>
            <w:tcW w:w="913" w:type="dxa"/>
          </w:tcPr>
          <w:p w14:paraId="7CAAE39C"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3,299</w:t>
            </w:r>
          </w:p>
        </w:tc>
        <w:tc>
          <w:tcPr>
            <w:tcW w:w="850" w:type="dxa"/>
          </w:tcPr>
          <w:p w14:paraId="42EAC8BD"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3,381</w:t>
            </w:r>
          </w:p>
        </w:tc>
        <w:tc>
          <w:tcPr>
            <w:tcW w:w="992" w:type="dxa"/>
          </w:tcPr>
          <w:p w14:paraId="4423D83F"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3,250</w:t>
            </w:r>
          </w:p>
        </w:tc>
        <w:tc>
          <w:tcPr>
            <w:tcW w:w="993" w:type="dxa"/>
          </w:tcPr>
          <w:p w14:paraId="2E2BBDB5"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4,221</w:t>
            </w:r>
          </w:p>
        </w:tc>
        <w:tc>
          <w:tcPr>
            <w:tcW w:w="850" w:type="dxa"/>
          </w:tcPr>
          <w:p w14:paraId="5F1993E8"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2,408</w:t>
            </w:r>
          </w:p>
        </w:tc>
      </w:tr>
      <w:tr w:rsidR="00E437ED" w14:paraId="6E78988C" w14:textId="77777777" w:rsidTr="0056752C">
        <w:tc>
          <w:tcPr>
            <w:tcW w:w="4049" w:type="dxa"/>
          </w:tcPr>
          <w:p w14:paraId="477E5BA6" w14:textId="77777777" w:rsidR="00E437ED" w:rsidRPr="009C64FE" w:rsidRDefault="00E437ED" w:rsidP="0056752C">
            <w:pPr>
              <w:rPr>
                <w:rFonts w:ascii="Times New Roman" w:hAnsi="Times New Roman"/>
                <w:sz w:val="20"/>
                <w:szCs w:val="20"/>
              </w:rPr>
            </w:pPr>
            <w:r>
              <w:rPr>
                <w:rFonts w:ascii="Times New Roman" w:hAnsi="Times New Roman"/>
                <w:sz w:val="20"/>
                <w:szCs w:val="20"/>
              </w:rPr>
              <w:t>Adjusted earnings</w:t>
            </w:r>
          </w:p>
        </w:tc>
        <w:tc>
          <w:tcPr>
            <w:tcW w:w="913" w:type="dxa"/>
          </w:tcPr>
          <w:p w14:paraId="558EC0E7"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3,835</w:t>
            </w:r>
          </w:p>
        </w:tc>
        <w:tc>
          <w:tcPr>
            <w:tcW w:w="850" w:type="dxa"/>
          </w:tcPr>
          <w:p w14:paraId="608B3056"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3,865</w:t>
            </w:r>
          </w:p>
        </w:tc>
        <w:tc>
          <w:tcPr>
            <w:tcW w:w="992" w:type="dxa"/>
          </w:tcPr>
          <w:p w14:paraId="56CA4BF3"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3,772</w:t>
            </w:r>
          </w:p>
        </w:tc>
        <w:tc>
          <w:tcPr>
            <w:tcW w:w="993" w:type="dxa"/>
          </w:tcPr>
          <w:p w14:paraId="29D09B05"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3,400</w:t>
            </w:r>
          </w:p>
        </w:tc>
        <w:tc>
          <w:tcPr>
            <w:tcW w:w="850" w:type="dxa"/>
          </w:tcPr>
          <w:p w14:paraId="42D7DE51"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3,018</w:t>
            </w:r>
          </w:p>
        </w:tc>
      </w:tr>
      <w:tr w:rsidR="00E437ED" w14:paraId="04DC38E4" w14:textId="77777777" w:rsidTr="0056752C">
        <w:tc>
          <w:tcPr>
            <w:tcW w:w="4049" w:type="dxa"/>
          </w:tcPr>
          <w:p w14:paraId="23812BDF" w14:textId="77777777" w:rsidR="00E437ED" w:rsidRPr="009C64FE" w:rsidRDefault="00E437ED" w:rsidP="0056752C">
            <w:pPr>
              <w:rPr>
                <w:rFonts w:ascii="Times New Roman" w:hAnsi="Times New Roman"/>
                <w:sz w:val="20"/>
                <w:szCs w:val="20"/>
              </w:rPr>
            </w:pPr>
          </w:p>
        </w:tc>
        <w:tc>
          <w:tcPr>
            <w:tcW w:w="913" w:type="dxa"/>
          </w:tcPr>
          <w:p w14:paraId="2D7CCAFA" w14:textId="77777777" w:rsidR="00E437ED" w:rsidRPr="009C64FE" w:rsidRDefault="00E437ED" w:rsidP="0056752C">
            <w:pPr>
              <w:rPr>
                <w:rFonts w:ascii="Times New Roman" w:hAnsi="Times New Roman"/>
                <w:sz w:val="20"/>
                <w:szCs w:val="20"/>
              </w:rPr>
            </w:pPr>
          </w:p>
        </w:tc>
        <w:tc>
          <w:tcPr>
            <w:tcW w:w="850" w:type="dxa"/>
          </w:tcPr>
          <w:p w14:paraId="27839ECE" w14:textId="77777777" w:rsidR="00E437ED" w:rsidRPr="009C64FE" w:rsidRDefault="00E437ED" w:rsidP="0056752C">
            <w:pPr>
              <w:rPr>
                <w:rFonts w:ascii="Times New Roman" w:hAnsi="Times New Roman"/>
                <w:sz w:val="20"/>
                <w:szCs w:val="20"/>
              </w:rPr>
            </w:pPr>
          </w:p>
        </w:tc>
        <w:tc>
          <w:tcPr>
            <w:tcW w:w="992" w:type="dxa"/>
          </w:tcPr>
          <w:p w14:paraId="7F701156" w14:textId="77777777" w:rsidR="00E437ED" w:rsidRPr="009C64FE" w:rsidRDefault="00E437ED" w:rsidP="0056752C">
            <w:pPr>
              <w:rPr>
                <w:rFonts w:ascii="Times New Roman" w:hAnsi="Times New Roman"/>
                <w:sz w:val="20"/>
                <w:szCs w:val="20"/>
              </w:rPr>
            </w:pPr>
          </w:p>
        </w:tc>
        <w:tc>
          <w:tcPr>
            <w:tcW w:w="993" w:type="dxa"/>
          </w:tcPr>
          <w:p w14:paraId="0955FB8B" w14:textId="77777777" w:rsidR="00E437ED" w:rsidRPr="009C64FE" w:rsidRDefault="00E437ED" w:rsidP="0056752C">
            <w:pPr>
              <w:rPr>
                <w:rFonts w:ascii="Times New Roman" w:hAnsi="Times New Roman"/>
                <w:sz w:val="20"/>
                <w:szCs w:val="20"/>
              </w:rPr>
            </w:pPr>
          </w:p>
        </w:tc>
        <w:tc>
          <w:tcPr>
            <w:tcW w:w="850" w:type="dxa"/>
          </w:tcPr>
          <w:p w14:paraId="429FBB2B" w14:textId="77777777" w:rsidR="00E437ED" w:rsidRPr="009C64FE" w:rsidRDefault="00E437ED" w:rsidP="0056752C">
            <w:pPr>
              <w:rPr>
                <w:rFonts w:ascii="Times New Roman" w:hAnsi="Times New Roman"/>
                <w:sz w:val="20"/>
                <w:szCs w:val="20"/>
              </w:rPr>
            </w:pPr>
          </w:p>
        </w:tc>
      </w:tr>
      <w:tr w:rsidR="00E437ED" w14:paraId="0B4F077C" w14:textId="77777777" w:rsidTr="0056752C">
        <w:tc>
          <w:tcPr>
            <w:tcW w:w="4049" w:type="dxa"/>
          </w:tcPr>
          <w:p w14:paraId="0F7F3542" w14:textId="77777777" w:rsidR="00E437ED" w:rsidRPr="009C64FE" w:rsidRDefault="00E437ED" w:rsidP="0056752C">
            <w:pPr>
              <w:rPr>
                <w:rFonts w:ascii="Times New Roman" w:hAnsi="Times New Roman"/>
                <w:sz w:val="20"/>
                <w:szCs w:val="20"/>
              </w:rPr>
            </w:pPr>
            <w:r>
              <w:rPr>
                <w:rFonts w:ascii="Times New Roman" w:hAnsi="Times New Roman"/>
                <w:sz w:val="20"/>
                <w:szCs w:val="20"/>
              </w:rPr>
              <w:t>Balance Sheets</w:t>
            </w:r>
          </w:p>
        </w:tc>
        <w:tc>
          <w:tcPr>
            <w:tcW w:w="913" w:type="dxa"/>
          </w:tcPr>
          <w:p w14:paraId="1E2AE1D2" w14:textId="77777777" w:rsidR="00E437ED" w:rsidRPr="009C64FE" w:rsidRDefault="00E437ED" w:rsidP="0056752C">
            <w:pPr>
              <w:rPr>
                <w:rFonts w:ascii="Times New Roman" w:hAnsi="Times New Roman"/>
                <w:sz w:val="20"/>
                <w:szCs w:val="20"/>
              </w:rPr>
            </w:pPr>
          </w:p>
        </w:tc>
        <w:tc>
          <w:tcPr>
            <w:tcW w:w="850" w:type="dxa"/>
          </w:tcPr>
          <w:p w14:paraId="6E25FBA5" w14:textId="77777777" w:rsidR="00E437ED" w:rsidRPr="009C64FE" w:rsidRDefault="00E437ED" w:rsidP="0056752C">
            <w:pPr>
              <w:rPr>
                <w:rFonts w:ascii="Times New Roman" w:hAnsi="Times New Roman"/>
                <w:sz w:val="20"/>
                <w:szCs w:val="20"/>
              </w:rPr>
            </w:pPr>
          </w:p>
        </w:tc>
        <w:tc>
          <w:tcPr>
            <w:tcW w:w="992" w:type="dxa"/>
          </w:tcPr>
          <w:p w14:paraId="4233D849" w14:textId="77777777" w:rsidR="00E437ED" w:rsidRPr="009C64FE" w:rsidRDefault="00E437ED" w:rsidP="0056752C">
            <w:pPr>
              <w:rPr>
                <w:rFonts w:ascii="Times New Roman" w:hAnsi="Times New Roman"/>
                <w:sz w:val="20"/>
                <w:szCs w:val="20"/>
              </w:rPr>
            </w:pPr>
          </w:p>
        </w:tc>
        <w:tc>
          <w:tcPr>
            <w:tcW w:w="993" w:type="dxa"/>
          </w:tcPr>
          <w:p w14:paraId="59FD3F5C" w14:textId="77777777" w:rsidR="00E437ED" w:rsidRPr="009C64FE" w:rsidRDefault="00E437ED" w:rsidP="0056752C">
            <w:pPr>
              <w:rPr>
                <w:rFonts w:ascii="Times New Roman" w:hAnsi="Times New Roman"/>
                <w:sz w:val="20"/>
                <w:szCs w:val="20"/>
              </w:rPr>
            </w:pPr>
          </w:p>
        </w:tc>
        <w:tc>
          <w:tcPr>
            <w:tcW w:w="850" w:type="dxa"/>
          </w:tcPr>
          <w:p w14:paraId="63749A44" w14:textId="77777777" w:rsidR="00E437ED" w:rsidRPr="009C64FE" w:rsidRDefault="00E437ED" w:rsidP="0056752C">
            <w:pPr>
              <w:rPr>
                <w:rFonts w:ascii="Times New Roman" w:hAnsi="Times New Roman"/>
                <w:sz w:val="20"/>
                <w:szCs w:val="20"/>
              </w:rPr>
            </w:pPr>
          </w:p>
        </w:tc>
      </w:tr>
      <w:tr w:rsidR="00E437ED" w14:paraId="056B3FF5" w14:textId="77777777" w:rsidTr="0056752C">
        <w:tc>
          <w:tcPr>
            <w:tcW w:w="4049" w:type="dxa"/>
          </w:tcPr>
          <w:p w14:paraId="71DEDF49" w14:textId="77777777" w:rsidR="00E437ED" w:rsidRPr="009C64FE" w:rsidRDefault="00E437ED" w:rsidP="0056752C">
            <w:pPr>
              <w:rPr>
                <w:rFonts w:ascii="Times New Roman" w:hAnsi="Times New Roman"/>
                <w:sz w:val="20"/>
                <w:szCs w:val="20"/>
              </w:rPr>
            </w:pPr>
            <w:r>
              <w:rPr>
                <w:rFonts w:ascii="Times New Roman" w:hAnsi="Times New Roman"/>
                <w:sz w:val="20"/>
                <w:szCs w:val="20"/>
              </w:rPr>
              <w:t>Non-current assets</w:t>
            </w:r>
          </w:p>
        </w:tc>
        <w:tc>
          <w:tcPr>
            <w:tcW w:w="913" w:type="dxa"/>
          </w:tcPr>
          <w:p w14:paraId="0E28D90D" w14:textId="77777777" w:rsidR="00E437ED" w:rsidRPr="009C64FE" w:rsidRDefault="00E437ED" w:rsidP="0056752C">
            <w:pPr>
              <w:rPr>
                <w:rFonts w:ascii="Times New Roman" w:hAnsi="Times New Roman"/>
                <w:sz w:val="20"/>
                <w:szCs w:val="20"/>
              </w:rPr>
            </w:pPr>
            <w:r>
              <w:rPr>
                <w:rFonts w:ascii="Times New Roman" w:hAnsi="Times New Roman"/>
                <w:sz w:val="20"/>
                <w:szCs w:val="20"/>
              </w:rPr>
              <w:t>40,552</w:t>
            </w:r>
          </w:p>
        </w:tc>
        <w:tc>
          <w:tcPr>
            <w:tcW w:w="850" w:type="dxa"/>
          </w:tcPr>
          <w:p w14:paraId="501B7FFE" w14:textId="77777777" w:rsidR="00E437ED" w:rsidRPr="009C64FE" w:rsidRDefault="00E437ED" w:rsidP="0056752C">
            <w:pPr>
              <w:rPr>
                <w:rFonts w:ascii="Times New Roman" w:hAnsi="Times New Roman"/>
                <w:sz w:val="20"/>
                <w:szCs w:val="20"/>
              </w:rPr>
            </w:pPr>
            <w:r>
              <w:rPr>
                <w:rFonts w:ascii="Times New Roman" w:hAnsi="Times New Roman"/>
                <w:sz w:val="20"/>
                <w:szCs w:val="20"/>
              </w:rPr>
              <w:t>48,366</w:t>
            </w:r>
          </w:p>
        </w:tc>
        <w:tc>
          <w:tcPr>
            <w:tcW w:w="992" w:type="dxa"/>
          </w:tcPr>
          <w:p w14:paraId="4A0A1CEC" w14:textId="77777777" w:rsidR="00E437ED" w:rsidRPr="009C64FE" w:rsidRDefault="00E437ED" w:rsidP="0056752C">
            <w:pPr>
              <w:rPr>
                <w:rFonts w:ascii="Times New Roman" w:hAnsi="Times New Roman"/>
                <w:sz w:val="20"/>
                <w:szCs w:val="20"/>
              </w:rPr>
            </w:pPr>
            <w:r>
              <w:rPr>
                <w:rFonts w:ascii="Times New Roman" w:hAnsi="Times New Roman"/>
                <w:sz w:val="20"/>
                <w:szCs w:val="20"/>
              </w:rPr>
              <w:t>50,588</w:t>
            </w:r>
          </w:p>
        </w:tc>
        <w:tc>
          <w:tcPr>
            <w:tcW w:w="993" w:type="dxa"/>
          </w:tcPr>
          <w:p w14:paraId="010467EC" w14:textId="77777777" w:rsidR="00E437ED" w:rsidRPr="009C64FE" w:rsidRDefault="00E437ED" w:rsidP="0056752C">
            <w:pPr>
              <w:rPr>
                <w:rFonts w:ascii="Times New Roman" w:hAnsi="Times New Roman"/>
                <w:sz w:val="20"/>
                <w:szCs w:val="20"/>
              </w:rPr>
            </w:pPr>
            <w:r>
              <w:rPr>
                <w:rFonts w:ascii="Times New Roman" w:hAnsi="Times New Roman"/>
                <w:sz w:val="20"/>
                <w:szCs w:val="20"/>
              </w:rPr>
              <w:t>50,998</w:t>
            </w:r>
          </w:p>
        </w:tc>
        <w:tc>
          <w:tcPr>
            <w:tcW w:w="850" w:type="dxa"/>
          </w:tcPr>
          <w:p w14:paraId="21138893" w14:textId="77777777" w:rsidR="00E437ED" w:rsidRPr="009C64FE" w:rsidRDefault="00E437ED" w:rsidP="0056752C">
            <w:pPr>
              <w:rPr>
                <w:rFonts w:ascii="Times New Roman" w:hAnsi="Times New Roman"/>
                <w:sz w:val="20"/>
                <w:szCs w:val="20"/>
              </w:rPr>
            </w:pPr>
            <w:r>
              <w:rPr>
                <w:rFonts w:ascii="Times New Roman" w:hAnsi="Times New Roman"/>
                <w:sz w:val="20"/>
                <w:szCs w:val="20"/>
              </w:rPr>
              <w:t>34,870</w:t>
            </w:r>
          </w:p>
        </w:tc>
      </w:tr>
      <w:tr w:rsidR="00E437ED" w14:paraId="6FA209C9" w14:textId="77777777" w:rsidTr="0056752C">
        <w:tc>
          <w:tcPr>
            <w:tcW w:w="4049" w:type="dxa"/>
          </w:tcPr>
          <w:p w14:paraId="7E813CBB" w14:textId="77777777" w:rsidR="00E437ED" w:rsidRPr="009C64FE" w:rsidRDefault="00E437ED" w:rsidP="0056752C">
            <w:pPr>
              <w:rPr>
                <w:rFonts w:ascii="Times New Roman" w:hAnsi="Times New Roman"/>
                <w:sz w:val="20"/>
                <w:szCs w:val="20"/>
              </w:rPr>
            </w:pPr>
            <w:r>
              <w:rPr>
                <w:rFonts w:ascii="Times New Roman" w:hAnsi="Times New Roman"/>
                <w:sz w:val="20"/>
                <w:szCs w:val="20"/>
              </w:rPr>
              <w:t>Current assets</w:t>
            </w:r>
          </w:p>
        </w:tc>
        <w:tc>
          <w:tcPr>
            <w:tcW w:w="913" w:type="dxa"/>
          </w:tcPr>
          <w:p w14:paraId="3F03C643" w14:textId="77777777" w:rsidR="00E437ED" w:rsidRPr="009C64FE" w:rsidRDefault="00E437ED" w:rsidP="0056752C">
            <w:pPr>
              <w:rPr>
                <w:rFonts w:ascii="Times New Roman" w:hAnsi="Times New Roman"/>
                <w:sz w:val="20"/>
                <w:szCs w:val="20"/>
              </w:rPr>
            </w:pPr>
            <w:r>
              <w:rPr>
                <w:rFonts w:ascii="Times New Roman" w:hAnsi="Times New Roman"/>
                <w:sz w:val="20"/>
                <w:szCs w:val="20"/>
              </w:rPr>
              <w:t>4,359</w:t>
            </w:r>
          </w:p>
        </w:tc>
        <w:tc>
          <w:tcPr>
            <w:tcW w:w="850" w:type="dxa"/>
          </w:tcPr>
          <w:p w14:paraId="0ED9BF00"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5,385</w:t>
            </w:r>
          </w:p>
        </w:tc>
        <w:tc>
          <w:tcPr>
            <w:tcW w:w="992" w:type="dxa"/>
          </w:tcPr>
          <w:p w14:paraId="5281217D"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5,683</w:t>
            </w:r>
          </w:p>
        </w:tc>
        <w:tc>
          <w:tcPr>
            <w:tcW w:w="993" w:type="dxa"/>
          </w:tcPr>
          <w:p w14:paraId="3EEEA4FB"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4,930</w:t>
            </w:r>
          </w:p>
        </w:tc>
        <w:tc>
          <w:tcPr>
            <w:tcW w:w="850" w:type="dxa"/>
          </w:tcPr>
          <w:p w14:paraId="643C1297"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4,244</w:t>
            </w:r>
          </w:p>
        </w:tc>
      </w:tr>
      <w:tr w:rsidR="00E437ED" w14:paraId="5DA3F297" w14:textId="77777777" w:rsidTr="0056752C">
        <w:tc>
          <w:tcPr>
            <w:tcW w:w="4049" w:type="dxa"/>
          </w:tcPr>
          <w:p w14:paraId="365E698B" w14:textId="77777777" w:rsidR="00E437ED" w:rsidRPr="003324B4" w:rsidRDefault="00E437ED" w:rsidP="0056752C">
            <w:pPr>
              <w:rPr>
                <w:rFonts w:ascii="Times New Roman" w:hAnsi="Times New Roman"/>
                <w:b/>
                <w:sz w:val="20"/>
                <w:szCs w:val="20"/>
              </w:rPr>
            </w:pPr>
            <w:r w:rsidRPr="003324B4">
              <w:rPr>
                <w:rFonts w:ascii="Times New Roman" w:hAnsi="Times New Roman"/>
                <w:b/>
                <w:sz w:val="20"/>
                <w:szCs w:val="20"/>
              </w:rPr>
              <w:t>Total assets</w:t>
            </w:r>
          </w:p>
        </w:tc>
        <w:tc>
          <w:tcPr>
            <w:tcW w:w="913" w:type="dxa"/>
          </w:tcPr>
          <w:p w14:paraId="5F03C758" w14:textId="77777777" w:rsidR="00E437ED" w:rsidRPr="009C64FE" w:rsidRDefault="00E437ED" w:rsidP="0056752C">
            <w:pPr>
              <w:rPr>
                <w:rFonts w:ascii="Times New Roman" w:hAnsi="Times New Roman"/>
                <w:sz w:val="20"/>
                <w:szCs w:val="20"/>
              </w:rPr>
            </w:pPr>
            <w:r>
              <w:rPr>
                <w:rFonts w:ascii="Times New Roman" w:hAnsi="Times New Roman"/>
                <w:sz w:val="20"/>
                <w:szCs w:val="20"/>
              </w:rPr>
              <w:t>44,911</w:t>
            </w:r>
          </w:p>
        </w:tc>
        <w:tc>
          <w:tcPr>
            <w:tcW w:w="850" w:type="dxa"/>
          </w:tcPr>
          <w:p w14:paraId="2F03709C" w14:textId="77777777" w:rsidR="00E437ED" w:rsidRPr="009C64FE" w:rsidRDefault="00E437ED" w:rsidP="0056752C">
            <w:pPr>
              <w:rPr>
                <w:rFonts w:ascii="Times New Roman" w:hAnsi="Times New Roman"/>
                <w:sz w:val="20"/>
                <w:szCs w:val="20"/>
              </w:rPr>
            </w:pPr>
            <w:r>
              <w:rPr>
                <w:rFonts w:ascii="Times New Roman" w:hAnsi="Times New Roman"/>
                <w:sz w:val="20"/>
                <w:szCs w:val="20"/>
              </w:rPr>
              <w:t>53,751</w:t>
            </w:r>
          </w:p>
        </w:tc>
        <w:tc>
          <w:tcPr>
            <w:tcW w:w="992" w:type="dxa"/>
          </w:tcPr>
          <w:p w14:paraId="3203CAE4" w14:textId="77777777" w:rsidR="00E437ED" w:rsidRPr="009C64FE" w:rsidRDefault="00E437ED" w:rsidP="0056752C">
            <w:pPr>
              <w:rPr>
                <w:rFonts w:ascii="Times New Roman" w:hAnsi="Times New Roman"/>
                <w:sz w:val="20"/>
                <w:szCs w:val="20"/>
              </w:rPr>
            </w:pPr>
            <w:r>
              <w:rPr>
                <w:rFonts w:ascii="Times New Roman" w:hAnsi="Times New Roman"/>
                <w:sz w:val="20"/>
                <w:szCs w:val="20"/>
              </w:rPr>
              <w:t>56,294</w:t>
            </w:r>
          </w:p>
        </w:tc>
        <w:tc>
          <w:tcPr>
            <w:tcW w:w="993" w:type="dxa"/>
          </w:tcPr>
          <w:p w14:paraId="568B6BD6" w14:textId="77777777" w:rsidR="00E437ED" w:rsidRPr="009C64FE" w:rsidRDefault="00E437ED" w:rsidP="0056752C">
            <w:pPr>
              <w:rPr>
                <w:rFonts w:ascii="Times New Roman" w:hAnsi="Times New Roman"/>
                <w:sz w:val="20"/>
                <w:szCs w:val="20"/>
              </w:rPr>
            </w:pPr>
            <w:r>
              <w:rPr>
                <w:rFonts w:ascii="Times New Roman" w:hAnsi="Times New Roman"/>
                <w:sz w:val="20"/>
                <w:szCs w:val="20"/>
              </w:rPr>
              <w:t>55,928</w:t>
            </w:r>
          </w:p>
        </w:tc>
        <w:tc>
          <w:tcPr>
            <w:tcW w:w="850" w:type="dxa"/>
          </w:tcPr>
          <w:p w14:paraId="3DB4D6DF" w14:textId="77777777" w:rsidR="00E437ED" w:rsidRPr="009C64FE" w:rsidRDefault="00E437ED" w:rsidP="0056752C">
            <w:pPr>
              <w:rPr>
                <w:rFonts w:ascii="Times New Roman" w:hAnsi="Times New Roman"/>
                <w:sz w:val="20"/>
                <w:szCs w:val="20"/>
              </w:rPr>
            </w:pPr>
            <w:r>
              <w:rPr>
                <w:rFonts w:ascii="Times New Roman" w:hAnsi="Times New Roman"/>
                <w:sz w:val="20"/>
                <w:szCs w:val="20"/>
              </w:rPr>
              <w:t>39,114</w:t>
            </w:r>
          </w:p>
        </w:tc>
      </w:tr>
      <w:tr w:rsidR="00E437ED" w14:paraId="5BFC1AF9" w14:textId="77777777" w:rsidTr="0056752C">
        <w:tc>
          <w:tcPr>
            <w:tcW w:w="4049" w:type="dxa"/>
          </w:tcPr>
          <w:p w14:paraId="759E72EE" w14:textId="77777777" w:rsidR="00E437ED" w:rsidRPr="009C64FE" w:rsidRDefault="00E437ED" w:rsidP="0056752C">
            <w:pPr>
              <w:rPr>
                <w:rFonts w:ascii="Times New Roman" w:hAnsi="Times New Roman"/>
                <w:sz w:val="20"/>
                <w:szCs w:val="20"/>
              </w:rPr>
            </w:pPr>
          </w:p>
        </w:tc>
        <w:tc>
          <w:tcPr>
            <w:tcW w:w="913" w:type="dxa"/>
          </w:tcPr>
          <w:p w14:paraId="5AABF9C3" w14:textId="77777777" w:rsidR="00E437ED" w:rsidRPr="009C64FE" w:rsidRDefault="00E437ED" w:rsidP="0056752C">
            <w:pPr>
              <w:rPr>
                <w:rFonts w:ascii="Times New Roman" w:hAnsi="Times New Roman"/>
                <w:sz w:val="20"/>
                <w:szCs w:val="20"/>
              </w:rPr>
            </w:pPr>
          </w:p>
        </w:tc>
        <w:tc>
          <w:tcPr>
            <w:tcW w:w="850" w:type="dxa"/>
          </w:tcPr>
          <w:p w14:paraId="12999DDC" w14:textId="77777777" w:rsidR="00E437ED" w:rsidRPr="009C64FE" w:rsidRDefault="00E437ED" w:rsidP="0056752C">
            <w:pPr>
              <w:rPr>
                <w:rFonts w:ascii="Times New Roman" w:hAnsi="Times New Roman"/>
                <w:sz w:val="20"/>
                <w:szCs w:val="20"/>
              </w:rPr>
            </w:pPr>
          </w:p>
        </w:tc>
        <w:tc>
          <w:tcPr>
            <w:tcW w:w="992" w:type="dxa"/>
          </w:tcPr>
          <w:p w14:paraId="2A49C99B" w14:textId="77777777" w:rsidR="00E437ED" w:rsidRPr="009C64FE" w:rsidRDefault="00E437ED" w:rsidP="0056752C">
            <w:pPr>
              <w:rPr>
                <w:rFonts w:ascii="Times New Roman" w:hAnsi="Times New Roman"/>
                <w:sz w:val="20"/>
                <w:szCs w:val="20"/>
              </w:rPr>
            </w:pPr>
          </w:p>
        </w:tc>
        <w:tc>
          <w:tcPr>
            <w:tcW w:w="993" w:type="dxa"/>
          </w:tcPr>
          <w:p w14:paraId="6BC7FA20" w14:textId="77777777" w:rsidR="00E437ED" w:rsidRPr="009C64FE" w:rsidRDefault="00E437ED" w:rsidP="0056752C">
            <w:pPr>
              <w:rPr>
                <w:rFonts w:ascii="Times New Roman" w:hAnsi="Times New Roman"/>
                <w:sz w:val="20"/>
                <w:szCs w:val="20"/>
              </w:rPr>
            </w:pPr>
          </w:p>
        </w:tc>
        <w:tc>
          <w:tcPr>
            <w:tcW w:w="850" w:type="dxa"/>
          </w:tcPr>
          <w:p w14:paraId="71D38E04" w14:textId="77777777" w:rsidR="00E437ED" w:rsidRPr="009C64FE" w:rsidRDefault="00E437ED" w:rsidP="0056752C">
            <w:pPr>
              <w:rPr>
                <w:rFonts w:ascii="Times New Roman" w:hAnsi="Times New Roman"/>
                <w:sz w:val="20"/>
                <w:szCs w:val="20"/>
              </w:rPr>
            </w:pPr>
          </w:p>
        </w:tc>
      </w:tr>
      <w:tr w:rsidR="00E437ED" w14:paraId="0FC4EE4E" w14:textId="77777777" w:rsidTr="0056752C">
        <w:tc>
          <w:tcPr>
            <w:tcW w:w="4049" w:type="dxa"/>
          </w:tcPr>
          <w:p w14:paraId="71A3B578" w14:textId="77777777" w:rsidR="00E437ED" w:rsidRPr="009C64FE" w:rsidRDefault="00E437ED" w:rsidP="0056752C">
            <w:pPr>
              <w:rPr>
                <w:rFonts w:ascii="Times New Roman" w:hAnsi="Times New Roman"/>
                <w:sz w:val="20"/>
                <w:szCs w:val="20"/>
              </w:rPr>
            </w:pPr>
            <w:r>
              <w:rPr>
                <w:rFonts w:ascii="Times New Roman" w:hAnsi="Times New Roman"/>
                <w:sz w:val="20"/>
                <w:szCs w:val="20"/>
              </w:rPr>
              <w:t>Derivative financial instruments</w:t>
            </w:r>
          </w:p>
        </w:tc>
        <w:tc>
          <w:tcPr>
            <w:tcW w:w="913" w:type="dxa"/>
          </w:tcPr>
          <w:p w14:paraId="3075B5D4" w14:textId="77777777" w:rsidR="00E437ED" w:rsidRPr="009C64FE" w:rsidRDefault="00E437ED" w:rsidP="0056752C">
            <w:pPr>
              <w:rPr>
                <w:rFonts w:ascii="Times New Roman" w:hAnsi="Times New Roman"/>
                <w:sz w:val="20"/>
                <w:szCs w:val="20"/>
              </w:rPr>
            </w:pPr>
            <w:r>
              <w:rPr>
                <w:rFonts w:ascii="Times New Roman" w:hAnsi="Times New Roman"/>
                <w:sz w:val="20"/>
                <w:szCs w:val="20"/>
              </w:rPr>
              <w:t>-111</w:t>
            </w:r>
          </w:p>
        </w:tc>
        <w:tc>
          <w:tcPr>
            <w:tcW w:w="850" w:type="dxa"/>
          </w:tcPr>
          <w:p w14:paraId="2ECD5BF6"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-115</w:t>
            </w:r>
          </w:p>
        </w:tc>
        <w:tc>
          <w:tcPr>
            <w:tcW w:w="992" w:type="dxa"/>
          </w:tcPr>
          <w:p w14:paraId="174DACF5"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-86</w:t>
            </w:r>
          </w:p>
        </w:tc>
        <w:tc>
          <w:tcPr>
            <w:tcW w:w="993" w:type="dxa"/>
          </w:tcPr>
          <w:p w14:paraId="19F0FC83"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-109</w:t>
            </w:r>
          </w:p>
        </w:tc>
        <w:tc>
          <w:tcPr>
            <w:tcW w:w="850" w:type="dxa"/>
          </w:tcPr>
          <w:p w14:paraId="4D13E855"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-130</w:t>
            </w:r>
          </w:p>
        </w:tc>
      </w:tr>
      <w:tr w:rsidR="00E437ED" w14:paraId="368DBA95" w14:textId="77777777" w:rsidTr="0056752C">
        <w:tc>
          <w:tcPr>
            <w:tcW w:w="4049" w:type="dxa"/>
          </w:tcPr>
          <w:p w14:paraId="10F6EF9E" w14:textId="77777777" w:rsidR="00E437ED" w:rsidRPr="009C64FE" w:rsidRDefault="00E437ED" w:rsidP="0056752C">
            <w:pPr>
              <w:rPr>
                <w:rFonts w:ascii="Times New Roman" w:hAnsi="Times New Roman"/>
                <w:sz w:val="20"/>
                <w:szCs w:val="20"/>
              </w:rPr>
            </w:pPr>
            <w:r>
              <w:rPr>
                <w:rFonts w:ascii="Times New Roman" w:hAnsi="Times New Roman"/>
                <w:sz w:val="20"/>
                <w:szCs w:val="20"/>
              </w:rPr>
              <w:t>Borrowings</w:t>
            </w:r>
          </w:p>
        </w:tc>
        <w:tc>
          <w:tcPr>
            <w:tcW w:w="913" w:type="dxa"/>
          </w:tcPr>
          <w:p w14:paraId="6C534C99" w14:textId="77777777" w:rsidR="00E437ED" w:rsidRPr="009C64FE" w:rsidRDefault="00E437ED" w:rsidP="0056752C">
            <w:pPr>
              <w:rPr>
                <w:rFonts w:ascii="Times New Roman" w:hAnsi="Times New Roman"/>
                <w:sz w:val="20"/>
                <w:szCs w:val="20"/>
              </w:rPr>
            </w:pPr>
            <w:r>
              <w:rPr>
                <w:rFonts w:ascii="Times New Roman" w:hAnsi="Times New Roman"/>
                <w:sz w:val="20"/>
                <w:szCs w:val="20"/>
              </w:rPr>
              <w:t>-12,544</w:t>
            </w:r>
          </w:p>
        </w:tc>
        <w:tc>
          <w:tcPr>
            <w:tcW w:w="850" w:type="dxa"/>
          </w:tcPr>
          <w:p w14:paraId="52AE7F5E" w14:textId="77777777" w:rsidR="00E437ED" w:rsidRPr="009C64FE" w:rsidRDefault="00E437ED" w:rsidP="0056752C">
            <w:pPr>
              <w:rPr>
                <w:rFonts w:ascii="Times New Roman" w:hAnsi="Times New Roman"/>
                <w:sz w:val="20"/>
                <w:szCs w:val="20"/>
              </w:rPr>
            </w:pPr>
            <w:r>
              <w:rPr>
                <w:rFonts w:ascii="Times New Roman" w:hAnsi="Times New Roman"/>
                <w:sz w:val="20"/>
                <w:szCs w:val="20"/>
              </w:rPr>
              <w:t>-17,047</w:t>
            </w:r>
          </w:p>
        </w:tc>
        <w:tc>
          <w:tcPr>
            <w:tcW w:w="992" w:type="dxa"/>
          </w:tcPr>
          <w:p w14:paraId="0B5927AC" w14:textId="77777777" w:rsidR="00E437ED" w:rsidRPr="009C64FE" w:rsidRDefault="00E437ED" w:rsidP="0056752C">
            <w:pPr>
              <w:rPr>
                <w:rFonts w:ascii="Times New Roman" w:hAnsi="Times New Roman"/>
                <w:sz w:val="20"/>
                <w:szCs w:val="20"/>
              </w:rPr>
            </w:pPr>
            <w:r>
              <w:rPr>
                <w:rFonts w:ascii="Times New Roman" w:hAnsi="Times New Roman"/>
                <w:sz w:val="20"/>
                <w:szCs w:val="20"/>
              </w:rPr>
              <w:t>-18,158</w:t>
            </w:r>
          </w:p>
        </w:tc>
        <w:tc>
          <w:tcPr>
            <w:tcW w:w="993" w:type="dxa"/>
          </w:tcPr>
          <w:p w14:paraId="7653A1E3"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19,226</w:t>
            </w:r>
          </w:p>
        </w:tc>
        <w:tc>
          <w:tcPr>
            <w:tcW w:w="850" w:type="dxa"/>
          </w:tcPr>
          <w:p w14:paraId="01766858"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-8460</w:t>
            </w:r>
          </w:p>
        </w:tc>
      </w:tr>
      <w:tr w:rsidR="00E437ED" w14:paraId="05F3DAEA" w14:textId="77777777" w:rsidTr="0056752C">
        <w:tc>
          <w:tcPr>
            <w:tcW w:w="4049" w:type="dxa"/>
          </w:tcPr>
          <w:p w14:paraId="763BABF6" w14:textId="77777777" w:rsidR="00E437ED" w:rsidRPr="009C64FE" w:rsidRDefault="00E437ED" w:rsidP="0056752C">
            <w:pPr>
              <w:rPr>
                <w:rFonts w:ascii="Times New Roman" w:hAnsi="Times New Roman"/>
                <w:sz w:val="20"/>
                <w:szCs w:val="20"/>
              </w:rPr>
            </w:pPr>
            <w:r>
              <w:rPr>
                <w:rFonts w:ascii="Times New Roman" w:hAnsi="Times New Roman"/>
                <w:sz w:val="20"/>
                <w:szCs w:val="20"/>
              </w:rPr>
              <w:t>Other liabilities and provisions</w:t>
            </w:r>
          </w:p>
        </w:tc>
        <w:tc>
          <w:tcPr>
            <w:tcW w:w="913" w:type="dxa"/>
          </w:tcPr>
          <w:p w14:paraId="6A40ECC2" w14:textId="77777777" w:rsidR="00E437ED" w:rsidRPr="009C64FE" w:rsidRDefault="00E437ED" w:rsidP="0056752C">
            <w:pPr>
              <w:rPr>
                <w:rFonts w:ascii="Times New Roman" w:hAnsi="Times New Roman"/>
                <w:sz w:val="20"/>
                <w:szCs w:val="20"/>
              </w:rPr>
            </w:pPr>
            <w:r>
              <w:rPr>
                <w:rFonts w:ascii="Times New Roman" w:hAnsi="Times New Roman"/>
                <w:sz w:val="20"/>
                <w:szCs w:val="20"/>
              </w:rPr>
              <w:t>-8,012</w:t>
            </w:r>
          </w:p>
        </w:tc>
        <w:tc>
          <w:tcPr>
            <w:tcW w:w="850" w:type="dxa"/>
          </w:tcPr>
          <w:p w14:paraId="57C7B9FF"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-9,222</w:t>
            </w:r>
          </w:p>
        </w:tc>
        <w:tc>
          <w:tcPr>
            <w:tcW w:w="992" w:type="dxa"/>
          </w:tcPr>
          <w:p w14:paraId="24375E94"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-10,286</w:t>
            </w:r>
          </w:p>
        </w:tc>
        <w:tc>
          <w:tcPr>
            <w:tcW w:w="993" w:type="dxa"/>
          </w:tcPr>
          <w:p w14:paraId="7B341FAA" w14:textId="77777777" w:rsidR="00E437ED" w:rsidRPr="009C64FE" w:rsidRDefault="00E437ED" w:rsidP="0056752C">
            <w:pPr>
              <w:rPr>
                <w:rFonts w:ascii="Times New Roman" w:hAnsi="Times New Roman"/>
                <w:sz w:val="20"/>
                <w:szCs w:val="20"/>
              </w:rPr>
            </w:pPr>
            <w:r>
              <w:rPr>
                <w:rFonts w:ascii="Times New Roman" w:hAnsi="Times New Roman"/>
                <w:sz w:val="20"/>
                <w:szCs w:val="20"/>
              </w:rPr>
              <w:t>-10,554</w:t>
            </w:r>
          </w:p>
        </w:tc>
        <w:tc>
          <w:tcPr>
            <w:tcW w:w="850" w:type="dxa"/>
          </w:tcPr>
          <w:p w14:paraId="19AFBD0A"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-7,760</w:t>
            </w:r>
          </w:p>
        </w:tc>
      </w:tr>
      <w:tr w:rsidR="00E437ED" w14:paraId="6916A265" w14:textId="77777777" w:rsidTr="0056752C">
        <w:tc>
          <w:tcPr>
            <w:tcW w:w="4049" w:type="dxa"/>
          </w:tcPr>
          <w:p w14:paraId="7721F1E9" w14:textId="77777777" w:rsidR="00E437ED" w:rsidRPr="003324B4" w:rsidRDefault="00E437ED" w:rsidP="0056752C">
            <w:pPr>
              <w:rPr>
                <w:rFonts w:ascii="Times New Roman" w:hAnsi="Times New Roman"/>
                <w:b/>
                <w:sz w:val="20"/>
                <w:szCs w:val="20"/>
              </w:rPr>
            </w:pPr>
            <w:r w:rsidRPr="003324B4">
              <w:rPr>
                <w:rFonts w:ascii="Times New Roman" w:hAnsi="Times New Roman"/>
                <w:b/>
                <w:sz w:val="20"/>
                <w:szCs w:val="20"/>
              </w:rPr>
              <w:t>Total liabilities</w:t>
            </w:r>
          </w:p>
        </w:tc>
        <w:tc>
          <w:tcPr>
            <w:tcW w:w="913" w:type="dxa"/>
          </w:tcPr>
          <w:p w14:paraId="6C4A6C9B" w14:textId="77777777" w:rsidR="00E437ED" w:rsidRPr="009C64FE" w:rsidRDefault="00E437ED" w:rsidP="0056752C">
            <w:pPr>
              <w:rPr>
                <w:rFonts w:ascii="Times New Roman" w:hAnsi="Times New Roman"/>
                <w:sz w:val="20"/>
                <w:szCs w:val="20"/>
              </w:rPr>
            </w:pPr>
            <w:r>
              <w:rPr>
                <w:rFonts w:ascii="Times New Roman" w:hAnsi="Times New Roman"/>
                <w:sz w:val="20"/>
                <w:szCs w:val="20"/>
              </w:rPr>
              <w:t>-20,556</w:t>
            </w:r>
          </w:p>
        </w:tc>
        <w:tc>
          <w:tcPr>
            <w:tcW w:w="850" w:type="dxa"/>
          </w:tcPr>
          <w:p w14:paraId="7E3564F9" w14:textId="77777777" w:rsidR="00E437ED" w:rsidRPr="009C64FE" w:rsidRDefault="00E437ED" w:rsidP="0056752C">
            <w:pPr>
              <w:rPr>
                <w:rFonts w:ascii="Times New Roman" w:hAnsi="Times New Roman"/>
                <w:sz w:val="20"/>
                <w:szCs w:val="20"/>
              </w:rPr>
            </w:pPr>
            <w:r>
              <w:rPr>
                <w:rFonts w:ascii="Times New Roman" w:hAnsi="Times New Roman"/>
                <w:sz w:val="20"/>
                <w:szCs w:val="20"/>
              </w:rPr>
              <w:t>-26,269</w:t>
            </w:r>
          </w:p>
        </w:tc>
        <w:tc>
          <w:tcPr>
            <w:tcW w:w="992" w:type="dxa"/>
          </w:tcPr>
          <w:p w14:paraId="616FAF99" w14:textId="77777777" w:rsidR="00E437ED" w:rsidRPr="009C64FE" w:rsidRDefault="00E437ED" w:rsidP="0056752C">
            <w:pPr>
              <w:rPr>
                <w:rFonts w:ascii="Times New Roman" w:hAnsi="Times New Roman"/>
                <w:sz w:val="20"/>
                <w:szCs w:val="20"/>
              </w:rPr>
            </w:pPr>
            <w:r>
              <w:rPr>
                <w:rFonts w:ascii="Times New Roman" w:hAnsi="Times New Roman"/>
                <w:sz w:val="20"/>
                <w:szCs w:val="20"/>
              </w:rPr>
              <w:t>-26,834</w:t>
            </w:r>
          </w:p>
        </w:tc>
        <w:tc>
          <w:tcPr>
            <w:tcW w:w="993" w:type="dxa"/>
          </w:tcPr>
          <w:p w14:paraId="14B06643" w14:textId="77777777" w:rsidR="00E437ED" w:rsidRPr="009C64FE" w:rsidRDefault="00E437ED" w:rsidP="0056752C">
            <w:pPr>
              <w:rPr>
                <w:rFonts w:ascii="Times New Roman" w:hAnsi="Times New Roman"/>
                <w:sz w:val="20"/>
                <w:szCs w:val="20"/>
              </w:rPr>
            </w:pPr>
            <w:r>
              <w:rPr>
                <w:rFonts w:ascii="Times New Roman" w:hAnsi="Times New Roman"/>
                <w:sz w:val="20"/>
                <w:szCs w:val="20"/>
              </w:rPr>
              <w:t>-29,896</w:t>
            </w:r>
          </w:p>
        </w:tc>
        <w:tc>
          <w:tcPr>
            <w:tcW w:w="850" w:type="dxa"/>
          </w:tcPr>
          <w:p w14:paraId="4E4FDE79" w14:textId="77777777" w:rsidR="00E437ED" w:rsidRPr="009C64FE" w:rsidRDefault="00E437ED" w:rsidP="0056752C">
            <w:pPr>
              <w:rPr>
                <w:rFonts w:ascii="Times New Roman" w:hAnsi="Times New Roman"/>
                <w:sz w:val="20"/>
                <w:szCs w:val="20"/>
              </w:rPr>
            </w:pPr>
            <w:r>
              <w:rPr>
                <w:rFonts w:ascii="Times New Roman" w:hAnsi="Times New Roman"/>
                <w:sz w:val="20"/>
                <w:szCs w:val="20"/>
              </w:rPr>
              <w:t>-18,355</w:t>
            </w:r>
          </w:p>
        </w:tc>
      </w:tr>
      <w:tr w:rsidR="00E437ED" w14:paraId="5F3C8E44" w14:textId="77777777" w:rsidTr="0056752C">
        <w:tc>
          <w:tcPr>
            <w:tcW w:w="4049" w:type="dxa"/>
          </w:tcPr>
          <w:p w14:paraId="2460DFC0" w14:textId="77777777" w:rsidR="00E437ED" w:rsidRPr="009C64FE" w:rsidRDefault="00E437ED" w:rsidP="0056752C">
            <w:pPr>
              <w:rPr>
                <w:rFonts w:ascii="Times New Roman" w:hAnsi="Times New Roman"/>
                <w:sz w:val="20"/>
                <w:szCs w:val="20"/>
              </w:rPr>
            </w:pPr>
          </w:p>
        </w:tc>
        <w:tc>
          <w:tcPr>
            <w:tcW w:w="913" w:type="dxa"/>
          </w:tcPr>
          <w:p w14:paraId="3374812C" w14:textId="77777777" w:rsidR="00E437ED" w:rsidRPr="009C64FE" w:rsidRDefault="00E437ED" w:rsidP="0056752C">
            <w:pPr>
              <w:rPr>
                <w:rFonts w:ascii="Times New Roman" w:hAnsi="Times New Roman"/>
                <w:sz w:val="20"/>
                <w:szCs w:val="20"/>
              </w:rPr>
            </w:pPr>
          </w:p>
        </w:tc>
        <w:tc>
          <w:tcPr>
            <w:tcW w:w="850" w:type="dxa"/>
          </w:tcPr>
          <w:p w14:paraId="178C4636" w14:textId="77777777" w:rsidR="00E437ED" w:rsidRPr="009C64FE" w:rsidRDefault="00E437ED" w:rsidP="0056752C">
            <w:pPr>
              <w:rPr>
                <w:rFonts w:ascii="Times New Roman" w:hAnsi="Times New Roman"/>
                <w:sz w:val="20"/>
                <w:szCs w:val="20"/>
              </w:rPr>
            </w:pPr>
          </w:p>
        </w:tc>
        <w:tc>
          <w:tcPr>
            <w:tcW w:w="992" w:type="dxa"/>
          </w:tcPr>
          <w:p w14:paraId="7B6E3531" w14:textId="77777777" w:rsidR="00E437ED" w:rsidRPr="009C64FE" w:rsidRDefault="00E437ED" w:rsidP="0056752C">
            <w:pPr>
              <w:rPr>
                <w:rFonts w:ascii="Times New Roman" w:hAnsi="Times New Roman"/>
                <w:sz w:val="20"/>
                <w:szCs w:val="20"/>
              </w:rPr>
            </w:pPr>
          </w:p>
        </w:tc>
        <w:tc>
          <w:tcPr>
            <w:tcW w:w="993" w:type="dxa"/>
          </w:tcPr>
          <w:p w14:paraId="4DFBA61D" w14:textId="77777777" w:rsidR="00E437ED" w:rsidRPr="009C64FE" w:rsidRDefault="00E437ED" w:rsidP="0056752C">
            <w:pPr>
              <w:rPr>
                <w:rFonts w:ascii="Times New Roman" w:hAnsi="Times New Roman"/>
                <w:sz w:val="20"/>
                <w:szCs w:val="20"/>
              </w:rPr>
            </w:pPr>
          </w:p>
        </w:tc>
        <w:tc>
          <w:tcPr>
            <w:tcW w:w="850" w:type="dxa"/>
          </w:tcPr>
          <w:p w14:paraId="4A20968D" w14:textId="77777777" w:rsidR="00E437ED" w:rsidRPr="009C64FE" w:rsidRDefault="00E437ED" w:rsidP="0056752C">
            <w:pPr>
              <w:rPr>
                <w:rFonts w:ascii="Times New Roman" w:hAnsi="Times New Roman"/>
                <w:sz w:val="20"/>
                <w:szCs w:val="20"/>
              </w:rPr>
            </w:pPr>
          </w:p>
        </w:tc>
      </w:tr>
      <w:tr w:rsidR="00E437ED" w14:paraId="659634F4" w14:textId="77777777" w:rsidTr="0056752C">
        <w:tc>
          <w:tcPr>
            <w:tcW w:w="4049" w:type="dxa"/>
          </w:tcPr>
          <w:p w14:paraId="312AA7E3" w14:textId="77777777" w:rsidR="00E437ED" w:rsidRPr="003324B4" w:rsidRDefault="00E437ED" w:rsidP="0056752C">
            <w:pPr>
              <w:rPr>
                <w:rFonts w:ascii="Times New Roman" w:hAnsi="Times New Roman"/>
                <w:b/>
                <w:sz w:val="20"/>
                <w:szCs w:val="20"/>
              </w:rPr>
            </w:pPr>
            <w:r w:rsidRPr="003324B4">
              <w:rPr>
                <w:rFonts w:ascii="Times New Roman" w:hAnsi="Times New Roman"/>
                <w:b/>
                <w:sz w:val="20"/>
                <w:szCs w:val="20"/>
              </w:rPr>
              <w:t>Net assets</w:t>
            </w:r>
          </w:p>
        </w:tc>
        <w:tc>
          <w:tcPr>
            <w:tcW w:w="913" w:type="dxa"/>
          </w:tcPr>
          <w:p w14:paraId="4C77797E" w14:textId="77777777" w:rsidR="00E437ED" w:rsidRPr="009C64FE" w:rsidRDefault="00E437ED" w:rsidP="0056752C">
            <w:pPr>
              <w:rPr>
                <w:rFonts w:ascii="Times New Roman" w:hAnsi="Times New Roman"/>
                <w:sz w:val="20"/>
                <w:szCs w:val="20"/>
              </w:rPr>
            </w:pPr>
            <w:r>
              <w:rPr>
                <w:rFonts w:ascii="Times New Roman" w:hAnsi="Times New Roman"/>
                <w:sz w:val="20"/>
                <w:szCs w:val="20"/>
              </w:rPr>
              <w:t>24,355</w:t>
            </w:r>
          </w:p>
        </w:tc>
        <w:tc>
          <w:tcPr>
            <w:tcW w:w="850" w:type="dxa"/>
          </w:tcPr>
          <w:p w14:paraId="1E7CC24C" w14:textId="77777777" w:rsidR="00E437ED" w:rsidRPr="009C64FE" w:rsidRDefault="00E437ED" w:rsidP="0056752C">
            <w:pPr>
              <w:rPr>
                <w:rFonts w:ascii="Times New Roman" w:hAnsi="Times New Roman"/>
                <w:sz w:val="20"/>
                <w:szCs w:val="20"/>
              </w:rPr>
            </w:pPr>
            <w:r>
              <w:rPr>
                <w:rFonts w:ascii="Times New Roman" w:hAnsi="Times New Roman"/>
                <w:sz w:val="20"/>
                <w:szCs w:val="20"/>
              </w:rPr>
              <w:t>27,482</w:t>
            </w:r>
          </w:p>
        </w:tc>
        <w:tc>
          <w:tcPr>
            <w:tcW w:w="992" w:type="dxa"/>
          </w:tcPr>
          <w:p w14:paraId="3336AA30" w14:textId="77777777" w:rsidR="00E437ED" w:rsidRPr="009C64FE" w:rsidRDefault="00E437ED" w:rsidP="0056752C">
            <w:pPr>
              <w:rPr>
                <w:rFonts w:ascii="Times New Roman" w:hAnsi="Times New Roman"/>
                <w:sz w:val="20"/>
                <w:szCs w:val="20"/>
              </w:rPr>
            </w:pPr>
            <w:r>
              <w:rPr>
                <w:rFonts w:ascii="Times New Roman" w:hAnsi="Times New Roman"/>
                <w:sz w:val="20"/>
                <w:szCs w:val="20"/>
              </w:rPr>
              <w:t>27,460</w:t>
            </w:r>
          </w:p>
        </w:tc>
        <w:tc>
          <w:tcPr>
            <w:tcW w:w="993" w:type="dxa"/>
          </w:tcPr>
          <w:p w14:paraId="532BBF57" w14:textId="77777777" w:rsidR="00E437ED" w:rsidRPr="009C64FE" w:rsidRDefault="00E437ED" w:rsidP="0056752C">
            <w:pPr>
              <w:rPr>
                <w:rFonts w:ascii="Times New Roman" w:hAnsi="Times New Roman"/>
                <w:sz w:val="20"/>
                <w:szCs w:val="20"/>
              </w:rPr>
            </w:pPr>
            <w:r>
              <w:rPr>
                <w:rFonts w:ascii="Times New Roman" w:hAnsi="Times New Roman"/>
                <w:sz w:val="20"/>
                <w:szCs w:val="20"/>
              </w:rPr>
              <w:t>28,032</w:t>
            </w:r>
          </w:p>
        </w:tc>
        <w:tc>
          <w:tcPr>
            <w:tcW w:w="850" w:type="dxa"/>
          </w:tcPr>
          <w:p w14:paraId="50584685" w14:textId="77777777" w:rsidR="00E437ED" w:rsidRPr="009C64FE" w:rsidRDefault="00E437ED" w:rsidP="0056752C">
            <w:pPr>
              <w:rPr>
                <w:rFonts w:ascii="Times New Roman" w:hAnsi="Times New Roman"/>
                <w:sz w:val="20"/>
                <w:szCs w:val="20"/>
              </w:rPr>
            </w:pPr>
            <w:r>
              <w:rPr>
                <w:rFonts w:ascii="Times New Roman" w:hAnsi="Times New Roman"/>
                <w:sz w:val="20"/>
                <w:szCs w:val="20"/>
              </w:rPr>
              <w:t>22,759</w:t>
            </w:r>
          </w:p>
        </w:tc>
      </w:tr>
      <w:tr w:rsidR="00E437ED" w14:paraId="434491CF" w14:textId="77777777" w:rsidTr="0056752C">
        <w:tc>
          <w:tcPr>
            <w:tcW w:w="4049" w:type="dxa"/>
          </w:tcPr>
          <w:p w14:paraId="4E7A7046" w14:textId="77777777" w:rsidR="00E437ED" w:rsidRPr="009C64FE" w:rsidRDefault="00E437ED" w:rsidP="0056752C">
            <w:pPr>
              <w:rPr>
                <w:rFonts w:ascii="Times New Roman" w:hAnsi="Times New Roman"/>
                <w:sz w:val="20"/>
                <w:szCs w:val="20"/>
              </w:rPr>
            </w:pPr>
            <w:r>
              <w:rPr>
                <w:rFonts w:ascii="Times New Roman" w:hAnsi="Times New Roman"/>
                <w:sz w:val="20"/>
                <w:szCs w:val="20"/>
              </w:rPr>
              <w:t>Total shareholders’ equity</w:t>
            </w:r>
          </w:p>
        </w:tc>
        <w:tc>
          <w:tcPr>
            <w:tcW w:w="913" w:type="dxa"/>
          </w:tcPr>
          <w:p w14:paraId="4A31FC07" w14:textId="77777777" w:rsidR="00E437ED" w:rsidRPr="009C64FE" w:rsidRDefault="00E437ED" w:rsidP="0056752C">
            <w:pPr>
              <w:rPr>
                <w:rFonts w:ascii="Times New Roman" w:hAnsi="Times New Roman"/>
                <w:sz w:val="20"/>
                <w:szCs w:val="20"/>
              </w:rPr>
            </w:pPr>
            <w:r>
              <w:rPr>
                <w:rFonts w:ascii="Times New Roman" w:hAnsi="Times New Roman"/>
                <w:sz w:val="20"/>
                <w:szCs w:val="20"/>
              </w:rPr>
              <w:t>23,172</w:t>
            </w:r>
          </w:p>
        </w:tc>
        <w:tc>
          <w:tcPr>
            <w:tcW w:w="850" w:type="dxa"/>
          </w:tcPr>
          <w:p w14:paraId="7A9E8722" w14:textId="77777777" w:rsidR="00E437ED" w:rsidRPr="009C64FE" w:rsidRDefault="00E437ED" w:rsidP="0056752C">
            <w:pPr>
              <w:rPr>
                <w:rFonts w:ascii="Times New Roman" w:hAnsi="Times New Roman"/>
                <w:sz w:val="20"/>
                <w:szCs w:val="20"/>
              </w:rPr>
            </w:pPr>
            <w:r>
              <w:rPr>
                <w:rFonts w:ascii="Times New Roman" w:hAnsi="Times New Roman"/>
                <w:sz w:val="20"/>
                <w:szCs w:val="20"/>
              </w:rPr>
              <w:t>26,319</w:t>
            </w:r>
          </w:p>
        </w:tc>
        <w:tc>
          <w:tcPr>
            <w:tcW w:w="992" w:type="dxa"/>
          </w:tcPr>
          <w:p w14:paraId="2EB32774" w14:textId="77777777" w:rsidR="00E437ED" w:rsidRPr="009C64FE" w:rsidRDefault="00E437ED" w:rsidP="0056752C">
            <w:pPr>
              <w:rPr>
                <w:rFonts w:ascii="Times New Roman" w:hAnsi="Times New Roman"/>
                <w:sz w:val="20"/>
                <w:szCs w:val="20"/>
              </w:rPr>
            </w:pPr>
            <w:r>
              <w:rPr>
                <w:rFonts w:ascii="Times New Roman" w:hAnsi="Times New Roman"/>
                <w:sz w:val="20"/>
                <w:szCs w:val="20"/>
              </w:rPr>
              <w:t>26,372</w:t>
            </w:r>
          </w:p>
        </w:tc>
        <w:tc>
          <w:tcPr>
            <w:tcW w:w="993" w:type="dxa"/>
          </w:tcPr>
          <w:p w14:paraId="29FD499C" w14:textId="77777777" w:rsidR="00E437ED" w:rsidRPr="009C64FE" w:rsidRDefault="00E437ED" w:rsidP="0056752C">
            <w:pPr>
              <w:rPr>
                <w:rFonts w:ascii="Times New Roman" w:hAnsi="Times New Roman"/>
                <w:sz w:val="20"/>
                <w:szCs w:val="20"/>
              </w:rPr>
            </w:pPr>
            <w:r>
              <w:rPr>
                <w:rFonts w:ascii="Times New Roman" w:hAnsi="Times New Roman"/>
                <w:sz w:val="20"/>
                <w:szCs w:val="20"/>
              </w:rPr>
              <w:t>25,073</w:t>
            </w:r>
          </w:p>
        </w:tc>
        <w:tc>
          <w:tcPr>
            <w:tcW w:w="850" w:type="dxa"/>
          </w:tcPr>
          <w:p w14:paraId="74FDAF8C" w14:textId="77777777" w:rsidR="00E437ED" w:rsidRPr="009C64FE" w:rsidRDefault="00E437ED" w:rsidP="0056752C">
            <w:pPr>
              <w:rPr>
                <w:rFonts w:ascii="Times New Roman" w:hAnsi="Times New Roman"/>
                <w:sz w:val="20"/>
                <w:szCs w:val="20"/>
              </w:rPr>
            </w:pPr>
            <w:r>
              <w:rPr>
                <w:rFonts w:ascii="Times New Roman" w:hAnsi="Times New Roman"/>
                <w:sz w:val="20"/>
                <w:szCs w:val="20"/>
              </w:rPr>
              <w:t>22,008</w:t>
            </w:r>
          </w:p>
        </w:tc>
      </w:tr>
      <w:tr w:rsidR="00E437ED" w14:paraId="428B4B07" w14:textId="77777777" w:rsidTr="0056752C">
        <w:tc>
          <w:tcPr>
            <w:tcW w:w="4049" w:type="dxa"/>
          </w:tcPr>
          <w:p w14:paraId="389A8718" w14:textId="77777777" w:rsidR="00E437ED" w:rsidRPr="009C64FE" w:rsidRDefault="00E437ED" w:rsidP="0056752C">
            <w:pPr>
              <w:rPr>
                <w:rFonts w:ascii="Times New Roman" w:hAnsi="Times New Roman"/>
                <w:sz w:val="20"/>
                <w:szCs w:val="20"/>
              </w:rPr>
            </w:pPr>
            <w:r>
              <w:rPr>
                <w:rFonts w:ascii="Times New Roman" w:hAnsi="Times New Roman"/>
                <w:sz w:val="20"/>
                <w:szCs w:val="20"/>
              </w:rPr>
              <w:t>Minority interests in equity</w:t>
            </w:r>
          </w:p>
        </w:tc>
        <w:tc>
          <w:tcPr>
            <w:tcW w:w="913" w:type="dxa"/>
          </w:tcPr>
          <w:p w14:paraId="1B3D75D8" w14:textId="77777777" w:rsidR="00E437ED" w:rsidRPr="009C64FE" w:rsidRDefault="00E437ED" w:rsidP="0056752C">
            <w:pPr>
              <w:rPr>
                <w:rFonts w:ascii="Times New Roman" w:hAnsi="Times New Roman"/>
                <w:sz w:val="20"/>
                <w:szCs w:val="20"/>
              </w:rPr>
            </w:pPr>
            <w:r>
              <w:rPr>
                <w:rFonts w:ascii="Times New Roman" w:hAnsi="Times New Roman"/>
                <w:sz w:val="20"/>
                <w:szCs w:val="20"/>
              </w:rPr>
              <w:t>1,183</w:t>
            </w:r>
          </w:p>
        </w:tc>
        <w:tc>
          <w:tcPr>
            <w:tcW w:w="850" w:type="dxa"/>
          </w:tcPr>
          <w:p w14:paraId="1FDE95F2"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1,163</w:t>
            </w:r>
          </w:p>
        </w:tc>
        <w:tc>
          <w:tcPr>
            <w:tcW w:w="992" w:type="dxa"/>
          </w:tcPr>
          <w:p w14:paraId="392B1A6A"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1,088</w:t>
            </w:r>
          </w:p>
        </w:tc>
        <w:tc>
          <w:tcPr>
            <w:tcW w:w="993" w:type="dxa"/>
          </w:tcPr>
          <w:p w14:paraId="45A12282"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950</w:t>
            </w:r>
          </w:p>
        </w:tc>
        <w:tc>
          <w:tcPr>
            <w:tcW w:w="850" w:type="dxa"/>
          </w:tcPr>
          <w:p w14:paraId="51B5B270" w14:textId="77777777" w:rsidR="00E437ED" w:rsidRPr="009C64FE" w:rsidRDefault="00E437ED" w:rsidP="0056752C">
            <w:pPr>
              <w:rPr>
                <w:rFonts w:ascii="Times New Roman" w:hAnsi="Times New Roman"/>
                <w:sz w:val="20"/>
                <w:szCs w:val="20"/>
              </w:rPr>
            </w:pPr>
            <w:r>
              <w:rPr>
                <w:rFonts w:ascii="Times New Roman" w:hAnsi="Times New Roman"/>
                <w:sz w:val="20"/>
                <w:szCs w:val="20"/>
              </w:rPr>
              <w:t xml:space="preserve">     751</w:t>
            </w:r>
          </w:p>
        </w:tc>
      </w:tr>
      <w:tr w:rsidR="00E437ED" w14:paraId="57E55242" w14:textId="77777777" w:rsidTr="0056752C">
        <w:tc>
          <w:tcPr>
            <w:tcW w:w="4049" w:type="dxa"/>
          </w:tcPr>
          <w:p w14:paraId="74CA2B4C" w14:textId="77777777" w:rsidR="00E437ED" w:rsidRPr="003324B4" w:rsidRDefault="00E437ED" w:rsidP="0056752C">
            <w:pPr>
              <w:rPr>
                <w:rFonts w:ascii="Times New Roman" w:hAnsi="Times New Roman"/>
                <w:b/>
                <w:sz w:val="20"/>
                <w:szCs w:val="20"/>
              </w:rPr>
            </w:pPr>
            <w:r w:rsidRPr="003324B4">
              <w:rPr>
                <w:rFonts w:ascii="Times New Roman" w:hAnsi="Times New Roman"/>
                <w:b/>
                <w:sz w:val="20"/>
                <w:szCs w:val="20"/>
              </w:rPr>
              <w:t>Total equity</w:t>
            </w:r>
          </w:p>
        </w:tc>
        <w:tc>
          <w:tcPr>
            <w:tcW w:w="913" w:type="dxa"/>
          </w:tcPr>
          <w:p w14:paraId="0AEC080F" w14:textId="77777777" w:rsidR="00E437ED" w:rsidRPr="009C64FE" w:rsidRDefault="00E437ED" w:rsidP="0056752C">
            <w:pPr>
              <w:rPr>
                <w:rFonts w:ascii="Times New Roman" w:hAnsi="Times New Roman"/>
                <w:sz w:val="20"/>
                <w:szCs w:val="20"/>
              </w:rPr>
            </w:pPr>
            <w:r>
              <w:rPr>
                <w:rFonts w:ascii="Times New Roman" w:hAnsi="Times New Roman"/>
                <w:sz w:val="20"/>
                <w:szCs w:val="20"/>
              </w:rPr>
              <w:t>24,355</w:t>
            </w:r>
          </w:p>
        </w:tc>
        <w:tc>
          <w:tcPr>
            <w:tcW w:w="850" w:type="dxa"/>
          </w:tcPr>
          <w:p w14:paraId="1BFDEE42" w14:textId="77777777" w:rsidR="00E437ED" w:rsidRPr="009C64FE" w:rsidRDefault="00E437ED" w:rsidP="0056752C">
            <w:pPr>
              <w:rPr>
                <w:rFonts w:ascii="Times New Roman" w:hAnsi="Times New Roman"/>
                <w:sz w:val="20"/>
                <w:szCs w:val="20"/>
              </w:rPr>
            </w:pPr>
            <w:r>
              <w:rPr>
                <w:rFonts w:ascii="Times New Roman" w:hAnsi="Times New Roman"/>
                <w:sz w:val="20"/>
                <w:szCs w:val="20"/>
              </w:rPr>
              <w:t>27,482</w:t>
            </w:r>
          </w:p>
        </w:tc>
        <w:tc>
          <w:tcPr>
            <w:tcW w:w="992" w:type="dxa"/>
          </w:tcPr>
          <w:p w14:paraId="77AA2666" w14:textId="77777777" w:rsidR="00E437ED" w:rsidRPr="009C64FE" w:rsidRDefault="00E437ED" w:rsidP="0056752C">
            <w:pPr>
              <w:rPr>
                <w:rFonts w:ascii="Times New Roman" w:hAnsi="Times New Roman"/>
                <w:sz w:val="20"/>
                <w:szCs w:val="20"/>
              </w:rPr>
            </w:pPr>
            <w:r>
              <w:rPr>
                <w:rFonts w:ascii="Times New Roman" w:hAnsi="Times New Roman"/>
                <w:sz w:val="20"/>
                <w:szCs w:val="20"/>
              </w:rPr>
              <w:t>27,460</w:t>
            </w:r>
          </w:p>
        </w:tc>
        <w:tc>
          <w:tcPr>
            <w:tcW w:w="993" w:type="dxa"/>
          </w:tcPr>
          <w:p w14:paraId="559021BF" w14:textId="77777777" w:rsidR="00E437ED" w:rsidRPr="009C64FE" w:rsidRDefault="00E437ED" w:rsidP="0056752C">
            <w:pPr>
              <w:rPr>
                <w:rFonts w:ascii="Times New Roman" w:hAnsi="Times New Roman"/>
                <w:sz w:val="20"/>
                <w:szCs w:val="20"/>
              </w:rPr>
            </w:pPr>
            <w:r>
              <w:rPr>
                <w:rFonts w:ascii="Times New Roman" w:hAnsi="Times New Roman"/>
                <w:sz w:val="20"/>
                <w:szCs w:val="20"/>
              </w:rPr>
              <w:t>28,032</w:t>
            </w:r>
          </w:p>
        </w:tc>
        <w:tc>
          <w:tcPr>
            <w:tcW w:w="850" w:type="dxa"/>
          </w:tcPr>
          <w:p w14:paraId="156B7E9F" w14:textId="77777777" w:rsidR="00E437ED" w:rsidRPr="009C64FE" w:rsidRDefault="00E437ED" w:rsidP="0056752C">
            <w:pPr>
              <w:rPr>
                <w:rFonts w:ascii="Times New Roman" w:hAnsi="Times New Roman"/>
                <w:sz w:val="20"/>
                <w:szCs w:val="20"/>
              </w:rPr>
            </w:pPr>
            <w:r>
              <w:rPr>
                <w:rFonts w:ascii="Times New Roman" w:hAnsi="Times New Roman"/>
                <w:sz w:val="20"/>
                <w:szCs w:val="20"/>
              </w:rPr>
              <w:t>22,759</w:t>
            </w:r>
          </w:p>
        </w:tc>
      </w:tr>
      <w:tr w:rsidR="00E437ED" w14:paraId="5B2F9842" w14:textId="77777777" w:rsidTr="0056752C">
        <w:tc>
          <w:tcPr>
            <w:tcW w:w="4049" w:type="dxa"/>
          </w:tcPr>
          <w:p w14:paraId="1391862C" w14:textId="77777777" w:rsidR="00E437ED" w:rsidRPr="003324B4" w:rsidRDefault="00E437ED" w:rsidP="0056752C">
            <w:pPr>
              <w:rPr>
                <w:rFonts w:ascii="Times New Roman" w:hAnsi="Times New Roman"/>
                <w:b/>
                <w:sz w:val="20"/>
                <w:szCs w:val="20"/>
              </w:rPr>
            </w:pPr>
            <w:r>
              <w:rPr>
                <w:rFonts w:ascii="Times New Roman" w:hAnsi="Times New Roman"/>
                <w:b/>
                <w:sz w:val="20"/>
                <w:szCs w:val="20"/>
              </w:rPr>
              <w:t>Total number of shares in issue (millions)</w:t>
            </w:r>
          </w:p>
        </w:tc>
        <w:tc>
          <w:tcPr>
            <w:tcW w:w="913" w:type="dxa"/>
          </w:tcPr>
          <w:p w14:paraId="50D4F171" w14:textId="77777777" w:rsidR="00E437ED" w:rsidRDefault="00E437ED" w:rsidP="0056752C">
            <w:pPr>
              <w:rPr>
                <w:rFonts w:ascii="Times New Roman" w:hAnsi="Times New Roman"/>
                <w:sz w:val="20"/>
                <w:szCs w:val="20"/>
              </w:rPr>
            </w:pPr>
            <w:r>
              <w:rPr>
                <w:rFonts w:ascii="Times New Roman" w:hAnsi="Times New Roman"/>
                <w:sz w:val="20"/>
                <w:szCs w:val="20"/>
              </w:rPr>
              <w:t>1,675.7</w:t>
            </w:r>
          </w:p>
        </w:tc>
        <w:tc>
          <w:tcPr>
            <w:tcW w:w="850" w:type="dxa"/>
          </w:tcPr>
          <w:p w14:paraId="143F6361" w14:textId="77777777" w:rsidR="00E437ED" w:rsidRDefault="00E437ED" w:rsidP="0056752C">
            <w:pPr>
              <w:rPr>
                <w:rFonts w:ascii="Times New Roman" w:hAnsi="Times New Roman"/>
                <w:sz w:val="20"/>
                <w:szCs w:val="20"/>
              </w:rPr>
            </w:pPr>
            <w:r>
              <w:rPr>
                <w:rFonts w:ascii="Times New Roman" w:hAnsi="Times New Roman"/>
                <w:sz w:val="20"/>
                <w:szCs w:val="20"/>
              </w:rPr>
              <w:t>1,672.6</w:t>
            </w:r>
          </w:p>
        </w:tc>
        <w:tc>
          <w:tcPr>
            <w:tcW w:w="992" w:type="dxa"/>
          </w:tcPr>
          <w:p w14:paraId="5ED44638" w14:textId="77777777" w:rsidR="00E437ED" w:rsidRDefault="00E437ED" w:rsidP="0056752C">
            <w:pPr>
              <w:rPr>
                <w:rFonts w:ascii="Times New Roman" w:hAnsi="Times New Roman"/>
                <w:sz w:val="20"/>
                <w:szCs w:val="20"/>
              </w:rPr>
            </w:pPr>
            <w:r>
              <w:rPr>
                <w:rFonts w:ascii="Times New Roman" w:hAnsi="Times New Roman"/>
                <w:sz w:val="20"/>
                <w:szCs w:val="20"/>
              </w:rPr>
              <w:t>1,669.7</w:t>
            </w:r>
          </w:p>
        </w:tc>
        <w:tc>
          <w:tcPr>
            <w:tcW w:w="993" w:type="dxa"/>
          </w:tcPr>
          <w:p w14:paraId="1096C536" w14:textId="77777777" w:rsidR="00E437ED" w:rsidRDefault="00E437ED" w:rsidP="0056752C">
            <w:pPr>
              <w:rPr>
                <w:rFonts w:ascii="Times New Roman" w:hAnsi="Times New Roman"/>
                <w:sz w:val="20"/>
                <w:szCs w:val="20"/>
              </w:rPr>
            </w:pPr>
            <w:r>
              <w:rPr>
                <w:rFonts w:ascii="Times New Roman" w:hAnsi="Times New Roman"/>
                <w:sz w:val="20"/>
                <w:szCs w:val="20"/>
              </w:rPr>
              <w:t>1,664.30</w:t>
            </w:r>
          </w:p>
        </w:tc>
        <w:tc>
          <w:tcPr>
            <w:tcW w:w="850" w:type="dxa"/>
          </w:tcPr>
          <w:p w14:paraId="03186D8E" w14:textId="77777777" w:rsidR="00E437ED" w:rsidRDefault="00E437ED" w:rsidP="0056752C">
            <w:pPr>
              <w:rPr>
                <w:rFonts w:ascii="Times New Roman" w:hAnsi="Times New Roman"/>
                <w:sz w:val="20"/>
                <w:szCs w:val="20"/>
              </w:rPr>
            </w:pPr>
            <w:r>
              <w:rPr>
                <w:rFonts w:ascii="Times New Roman" w:hAnsi="Times New Roman"/>
                <w:sz w:val="20"/>
                <w:szCs w:val="20"/>
              </w:rPr>
              <w:t>1,659</w:t>
            </w:r>
          </w:p>
        </w:tc>
      </w:tr>
    </w:tbl>
    <w:p w14:paraId="4BF0F43E" w14:textId="77777777" w:rsidR="00E437ED" w:rsidRDefault="00E437ED" w:rsidP="00E437ED">
      <w:pPr>
        <w:pStyle w:val="NoSpacing"/>
        <w:rPr>
          <w:rFonts w:ascii="Times New Roman" w:hAnsi="Times New Roman"/>
          <w:b/>
          <w:sz w:val="24"/>
          <w:szCs w:val="24"/>
        </w:rPr>
      </w:pPr>
    </w:p>
    <w:p w14:paraId="75D6DE50" w14:textId="77777777" w:rsidR="00E437ED" w:rsidRPr="00175EDA" w:rsidRDefault="00E437ED" w:rsidP="00E437ED">
      <w:pPr>
        <w:pStyle w:val="NoSpacing"/>
        <w:rPr>
          <w:rFonts w:ascii="Times New Roman" w:hAnsi="Times New Roman"/>
          <w:b/>
          <w:sz w:val="24"/>
          <w:szCs w:val="24"/>
        </w:rPr>
      </w:pPr>
    </w:p>
    <w:p w14:paraId="4F1BA390" w14:textId="77777777" w:rsidR="00E437ED" w:rsidRPr="00050E4A" w:rsidRDefault="00E437ED" w:rsidP="00E437ED">
      <w:pPr>
        <w:pStyle w:val="NoSpacing"/>
        <w:rPr>
          <w:rFonts w:ascii="Times New Roman" w:hAnsi="Times New Roman"/>
          <w:sz w:val="24"/>
          <w:szCs w:val="24"/>
        </w:rPr>
      </w:pPr>
      <w:r w:rsidRPr="00050E4A">
        <w:rPr>
          <w:rFonts w:ascii="Times New Roman" w:hAnsi="Times New Roman"/>
          <w:sz w:val="24"/>
          <w:szCs w:val="24"/>
        </w:rPr>
        <w:lastRenderedPageBreak/>
        <w:t>1.  Explain the government policy of apartheid in South Africa from 1948 -1994.</w:t>
      </w:r>
    </w:p>
    <w:p w14:paraId="725EB8EE" w14:textId="77777777" w:rsidR="00E437ED" w:rsidRPr="00FF47D7" w:rsidRDefault="00E437ED" w:rsidP="00E437ED">
      <w:pPr>
        <w:pStyle w:val="NoSpacing"/>
        <w:ind w:left="284" w:hanging="284"/>
        <w:rPr>
          <w:rFonts w:ascii="Times New Roman" w:hAnsi="Times New Roman"/>
          <w:sz w:val="24"/>
          <w:szCs w:val="24"/>
        </w:rPr>
      </w:pPr>
      <w:r w:rsidRPr="00050E4A">
        <w:rPr>
          <w:rFonts w:ascii="Times New Roman" w:hAnsi="Times New Roman"/>
          <w:sz w:val="24"/>
          <w:szCs w:val="24"/>
        </w:rPr>
        <w:t>2.  Critically evaluate how South Africa</w:t>
      </w:r>
      <w:r>
        <w:rPr>
          <w:rFonts w:ascii="Times New Roman" w:hAnsi="Times New Roman"/>
          <w:sz w:val="24"/>
          <w:szCs w:val="24"/>
        </w:rPr>
        <w:t>n</w:t>
      </w:r>
      <w:r w:rsidRPr="00050E4A">
        <w:rPr>
          <w:rFonts w:ascii="Times New Roman" w:hAnsi="Times New Roman"/>
          <w:sz w:val="24"/>
          <w:szCs w:val="24"/>
        </w:rPr>
        <w:t xml:space="preserve"> Brewery (SAB) sustained its business position during that time.  Provide five examples of how SAB reacted to the apartheid situation in upholding its strategic position in South Africa.</w:t>
      </w:r>
    </w:p>
    <w:p w14:paraId="36E978B3" w14:textId="77777777" w:rsidR="00E437ED" w:rsidRDefault="00E437ED" w:rsidP="00E437ED">
      <w:pPr>
        <w:pStyle w:val="NoSpacing"/>
        <w:ind w:left="284" w:hanging="284"/>
        <w:rPr>
          <w:rFonts w:ascii="Times New Roman" w:hAnsi="Times New Roman"/>
          <w:sz w:val="24"/>
          <w:szCs w:val="24"/>
        </w:rPr>
      </w:pPr>
      <w:r>
        <w:rPr>
          <w:rFonts w:ascii="Times New Roman" w:hAnsi="Times New Roman"/>
          <w:sz w:val="24"/>
          <w:szCs w:val="24"/>
        </w:rPr>
        <w:t>3.  SAB has started to diversify its business in beer brewery from 1993 and by 2011 it has beer brewery operations in Africa, Europe, Asia and Russia, South America, USA and Australia and attained world number 2 position in beer production volume.</w:t>
      </w:r>
    </w:p>
    <w:p w14:paraId="35C836C8" w14:textId="77777777" w:rsidR="00E437ED" w:rsidRDefault="00E437ED" w:rsidP="00E437ED">
      <w:pPr>
        <w:pStyle w:val="NoSpacing"/>
        <w:ind w:left="284" w:hanging="284"/>
        <w:rPr>
          <w:rFonts w:ascii="Times New Roman" w:hAnsi="Times New Roman"/>
          <w:sz w:val="24"/>
          <w:szCs w:val="24"/>
        </w:rPr>
      </w:pPr>
      <w:r>
        <w:rPr>
          <w:rFonts w:ascii="Times New Roman" w:hAnsi="Times New Roman"/>
          <w:sz w:val="24"/>
          <w:szCs w:val="24"/>
        </w:rPr>
        <w:t xml:space="preserve">     (a)  Explain the opportunities that have enabled SAB to succeed in its diversification in the </w:t>
      </w:r>
    </w:p>
    <w:p w14:paraId="5CEA62A2" w14:textId="77777777" w:rsidR="00E437ED" w:rsidRDefault="00E437ED" w:rsidP="00E437ED">
      <w:pPr>
        <w:pStyle w:val="NoSpacing"/>
        <w:ind w:left="284" w:hanging="284"/>
        <w:rPr>
          <w:rFonts w:ascii="Times New Roman" w:hAnsi="Times New Roman"/>
          <w:sz w:val="24"/>
          <w:szCs w:val="24"/>
        </w:rPr>
      </w:pPr>
      <w:r>
        <w:rPr>
          <w:rFonts w:ascii="Times New Roman" w:hAnsi="Times New Roman"/>
          <w:sz w:val="24"/>
          <w:szCs w:val="24"/>
        </w:rPr>
        <w:t xml:space="preserve">           developing countries in Europe, Africa, China and South America.</w:t>
      </w:r>
    </w:p>
    <w:p w14:paraId="26D6C1BC" w14:textId="77777777" w:rsidR="00E437ED" w:rsidRDefault="00E437ED" w:rsidP="00E437ED">
      <w:pPr>
        <w:pStyle w:val="NoSpacing"/>
        <w:ind w:left="284" w:hanging="284"/>
        <w:rPr>
          <w:rFonts w:ascii="Times New Roman" w:hAnsi="Times New Roman"/>
          <w:sz w:val="24"/>
          <w:szCs w:val="24"/>
        </w:rPr>
      </w:pPr>
      <w:r>
        <w:rPr>
          <w:rFonts w:ascii="Times New Roman" w:hAnsi="Times New Roman"/>
          <w:sz w:val="24"/>
          <w:szCs w:val="24"/>
        </w:rPr>
        <w:t xml:space="preserve">     (b)  What would be the possible reasons that SAB could not penetrate the developed </w:t>
      </w:r>
    </w:p>
    <w:p w14:paraId="17D31DD2" w14:textId="77777777" w:rsidR="00E437ED" w:rsidRDefault="00E437ED" w:rsidP="00E437ED">
      <w:pPr>
        <w:pStyle w:val="NoSpacing"/>
        <w:ind w:left="284" w:hanging="284"/>
        <w:rPr>
          <w:rFonts w:ascii="Times New Roman" w:hAnsi="Times New Roman"/>
          <w:sz w:val="24"/>
          <w:szCs w:val="24"/>
        </w:rPr>
      </w:pPr>
      <w:r>
        <w:rPr>
          <w:rFonts w:ascii="Times New Roman" w:hAnsi="Times New Roman"/>
          <w:sz w:val="24"/>
          <w:szCs w:val="24"/>
        </w:rPr>
        <w:t xml:space="preserve">           markets in Germany, Holland/Netherland, England or France?</w:t>
      </w:r>
    </w:p>
    <w:p w14:paraId="192BB092" w14:textId="77777777" w:rsidR="00E437ED" w:rsidRPr="00085271" w:rsidRDefault="00E437ED" w:rsidP="00E437ED">
      <w:pPr>
        <w:pStyle w:val="NoSpacing"/>
        <w:ind w:left="284" w:hanging="284"/>
        <w:rPr>
          <w:rFonts w:ascii="Times New Roman" w:hAnsi="Times New Roman"/>
          <w:sz w:val="24"/>
          <w:szCs w:val="24"/>
        </w:rPr>
      </w:pPr>
      <w:r>
        <w:rPr>
          <w:rFonts w:ascii="Times New Roman" w:hAnsi="Times New Roman"/>
          <w:sz w:val="24"/>
          <w:szCs w:val="24"/>
        </w:rPr>
        <w:t>4.  Identify and evaluate the strategies SABMiller applied to expand into other geographical regions.  Provide the countries where the strategies have been applied.</w:t>
      </w:r>
    </w:p>
    <w:p w14:paraId="3C219C1E" w14:textId="77777777" w:rsidR="00E437ED" w:rsidRDefault="00E437ED" w:rsidP="00E437ED">
      <w:pPr>
        <w:pStyle w:val="NoSpacing"/>
        <w:ind w:left="284" w:hanging="284"/>
        <w:rPr>
          <w:rFonts w:ascii="Times New Roman" w:hAnsi="Times New Roman"/>
          <w:sz w:val="24"/>
          <w:szCs w:val="24"/>
        </w:rPr>
      </w:pPr>
      <w:r>
        <w:rPr>
          <w:rFonts w:ascii="Times New Roman" w:hAnsi="Times New Roman"/>
          <w:sz w:val="24"/>
          <w:szCs w:val="24"/>
        </w:rPr>
        <w:t xml:space="preserve">5.  Evaluate the financial performance of SABMiller for the 5 years from 2011 to 2015 in terms of profitability, liquidity, gearing and efficiency using at least two financial ratios for each situation.  </w:t>
      </w:r>
    </w:p>
    <w:p w14:paraId="706F04E2" w14:textId="77777777" w:rsidR="00E437ED" w:rsidRDefault="00E437ED" w:rsidP="00E437ED">
      <w:pPr>
        <w:pStyle w:val="NoSpacing"/>
        <w:ind w:left="284" w:hanging="284"/>
        <w:rPr>
          <w:rFonts w:ascii="Times New Roman" w:hAnsi="Times New Roman"/>
          <w:sz w:val="24"/>
          <w:szCs w:val="24"/>
        </w:rPr>
      </w:pPr>
      <w:r>
        <w:rPr>
          <w:rFonts w:ascii="Times New Roman" w:hAnsi="Times New Roman"/>
          <w:sz w:val="24"/>
          <w:szCs w:val="24"/>
        </w:rPr>
        <w:t>6.  Assess the possible strategic market direction SABMiller can take to expand its market to achieve its strategic intent to become world number one in the beer industry and how you can assess the strategy it will take.</w:t>
      </w:r>
    </w:p>
    <w:p w14:paraId="6E1B5812" w14:textId="77777777" w:rsidR="00E437ED" w:rsidRPr="00E62CCC" w:rsidRDefault="00E437ED" w:rsidP="00E437ED">
      <w:pPr>
        <w:pStyle w:val="NoSpacing"/>
        <w:ind w:left="284" w:hanging="284"/>
        <w:rPr>
          <w:rFonts w:ascii="Times New Roman" w:hAnsi="Times New Roman"/>
          <w:sz w:val="24"/>
          <w:szCs w:val="24"/>
        </w:rPr>
      </w:pPr>
    </w:p>
    <w:p w14:paraId="2A0EA20D" w14:textId="77777777" w:rsidR="00E437ED" w:rsidRPr="00056BA3" w:rsidRDefault="00E437ED" w:rsidP="00E437ED">
      <w:pPr>
        <w:pStyle w:val="NoSpacing"/>
        <w:rPr>
          <w:rFonts w:ascii="Times New Roman" w:hAnsi="Times New Roman"/>
          <w:b/>
          <w:sz w:val="24"/>
          <w:szCs w:val="24"/>
        </w:rPr>
      </w:pPr>
      <w:r w:rsidRPr="00056BA3">
        <w:rPr>
          <w:rFonts w:ascii="Times New Roman" w:hAnsi="Times New Roman"/>
          <w:b/>
          <w:sz w:val="24"/>
          <w:szCs w:val="24"/>
        </w:rPr>
        <w:t>Instructions</w:t>
      </w:r>
    </w:p>
    <w:p w14:paraId="0E6B9BC6" w14:textId="77777777" w:rsidR="00E437ED" w:rsidRDefault="00E437ED" w:rsidP="00E437ED">
      <w:pPr>
        <w:pStyle w:val="NoSpacing"/>
        <w:numPr>
          <w:ilvl w:val="0"/>
          <w:numId w:val="1"/>
        </w:numPr>
        <w:ind w:left="284" w:hanging="284"/>
        <w:rPr>
          <w:rFonts w:ascii="Times New Roman" w:hAnsi="Times New Roman"/>
          <w:sz w:val="24"/>
          <w:szCs w:val="24"/>
        </w:rPr>
      </w:pPr>
      <w:r>
        <w:rPr>
          <w:rFonts w:ascii="Times New Roman" w:hAnsi="Times New Roman"/>
          <w:sz w:val="24"/>
          <w:szCs w:val="24"/>
        </w:rPr>
        <w:t>Ensure you have the cover page for the individual assignment attached to your report.</w:t>
      </w:r>
    </w:p>
    <w:p w14:paraId="5143C69B" w14:textId="77777777" w:rsidR="00E437ED" w:rsidRDefault="00E437ED" w:rsidP="00E437ED">
      <w:pPr>
        <w:pStyle w:val="NoSpacing"/>
        <w:numPr>
          <w:ilvl w:val="0"/>
          <w:numId w:val="1"/>
        </w:numPr>
        <w:ind w:left="284" w:hanging="284"/>
        <w:rPr>
          <w:rFonts w:ascii="Times New Roman" w:hAnsi="Times New Roman"/>
          <w:sz w:val="24"/>
          <w:szCs w:val="24"/>
        </w:rPr>
      </w:pPr>
      <w:r>
        <w:rPr>
          <w:rFonts w:ascii="Times New Roman" w:hAnsi="Times New Roman"/>
          <w:sz w:val="24"/>
          <w:szCs w:val="24"/>
        </w:rPr>
        <w:t xml:space="preserve">Use front </w:t>
      </w:r>
      <w:proofErr w:type="spellStart"/>
      <w:r>
        <w:rPr>
          <w:rFonts w:ascii="Times New Roman" w:hAnsi="Times New Roman"/>
          <w:sz w:val="24"/>
          <w:szCs w:val="24"/>
        </w:rPr>
        <w:t>sixe</w:t>
      </w:r>
      <w:proofErr w:type="spellEnd"/>
      <w:r>
        <w:rPr>
          <w:rFonts w:ascii="Times New Roman" w:hAnsi="Times New Roman"/>
          <w:sz w:val="24"/>
          <w:szCs w:val="24"/>
        </w:rPr>
        <w:t xml:space="preserve"> 12 and the line spacing 1.5.</w:t>
      </w:r>
    </w:p>
    <w:p w14:paraId="302713AF" w14:textId="77777777" w:rsidR="00E437ED" w:rsidRDefault="00E437ED" w:rsidP="00E437ED">
      <w:pPr>
        <w:pStyle w:val="NoSpacing"/>
        <w:numPr>
          <w:ilvl w:val="0"/>
          <w:numId w:val="1"/>
        </w:numPr>
        <w:ind w:left="284" w:hanging="284"/>
        <w:rPr>
          <w:rFonts w:ascii="Times New Roman" w:hAnsi="Times New Roman"/>
          <w:sz w:val="24"/>
          <w:szCs w:val="24"/>
        </w:rPr>
      </w:pPr>
      <w:r>
        <w:rPr>
          <w:rFonts w:ascii="Times New Roman" w:hAnsi="Times New Roman"/>
          <w:sz w:val="24"/>
          <w:szCs w:val="24"/>
        </w:rPr>
        <w:t xml:space="preserve">The report must be submitted in the </w:t>
      </w:r>
      <w:r>
        <w:rPr>
          <w:rFonts w:ascii="Times New Roman" w:hAnsi="Times New Roman"/>
          <w:b/>
          <w:sz w:val="24"/>
          <w:szCs w:val="24"/>
        </w:rPr>
        <w:t>4</w:t>
      </w:r>
      <w:r>
        <w:rPr>
          <w:rFonts w:ascii="Times New Roman" w:hAnsi="Times New Roman"/>
          <w:b/>
          <w:sz w:val="24"/>
          <w:szCs w:val="24"/>
          <w:vertAlign w:val="superscript"/>
        </w:rPr>
        <w:t>th</w:t>
      </w:r>
      <w:r w:rsidRPr="00433292">
        <w:rPr>
          <w:rFonts w:ascii="Times New Roman" w:hAnsi="Times New Roman"/>
          <w:b/>
          <w:sz w:val="24"/>
          <w:szCs w:val="24"/>
        </w:rPr>
        <w:t xml:space="preserve"> week.</w:t>
      </w:r>
    </w:p>
    <w:p w14:paraId="662ADF36" w14:textId="77777777" w:rsidR="00E437ED" w:rsidRDefault="00E437ED" w:rsidP="00E437ED">
      <w:pPr>
        <w:pStyle w:val="NoSpacing"/>
        <w:numPr>
          <w:ilvl w:val="0"/>
          <w:numId w:val="1"/>
        </w:numPr>
        <w:ind w:left="284" w:hanging="284"/>
        <w:rPr>
          <w:rFonts w:ascii="Times New Roman" w:hAnsi="Times New Roman"/>
          <w:sz w:val="24"/>
          <w:szCs w:val="24"/>
        </w:rPr>
      </w:pPr>
      <w:r>
        <w:rPr>
          <w:rFonts w:ascii="Times New Roman" w:hAnsi="Times New Roman"/>
          <w:sz w:val="24"/>
          <w:szCs w:val="24"/>
        </w:rPr>
        <w:t xml:space="preserve">Any delay in the submission of the report, marks will be deducted at the rated of 10% per day. </w:t>
      </w:r>
    </w:p>
    <w:p w14:paraId="15C21521" w14:textId="77777777" w:rsidR="00E437ED" w:rsidRPr="00C32EB5" w:rsidRDefault="00E437ED" w:rsidP="00E437ED">
      <w:pPr>
        <w:pStyle w:val="NoSpacing"/>
        <w:numPr>
          <w:ilvl w:val="0"/>
          <w:numId w:val="1"/>
        </w:numPr>
        <w:ind w:left="284" w:hanging="284"/>
        <w:rPr>
          <w:rFonts w:ascii="Times New Roman" w:hAnsi="Times New Roman"/>
          <w:sz w:val="24"/>
          <w:szCs w:val="24"/>
        </w:rPr>
      </w:pPr>
      <w:r>
        <w:rPr>
          <w:rFonts w:ascii="Times New Roman" w:hAnsi="Times New Roman"/>
          <w:sz w:val="24"/>
          <w:szCs w:val="24"/>
        </w:rPr>
        <w:t>Plagiarism, if detected will lead to an immediate “fail grade”.</w:t>
      </w:r>
    </w:p>
    <w:p w14:paraId="51B145CA" w14:textId="77777777" w:rsidR="00E437ED" w:rsidRDefault="00E437ED" w:rsidP="00E437ED">
      <w:pPr>
        <w:rPr>
          <w:rFonts w:ascii="Times New Roman" w:hAnsi="Times New Roman"/>
          <w:sz w:val="24"/>
          <w:szCs w:val="24"/>
        </w:rPr>
      </w:pPr>
    </w:p>
    <w:p w14:paraId="18CF3612" w14:textId="77777777" w:rsidR="00E437ED" w:rsidRPr="001768EE" w:rsidRDefault="00E437ED" w:rsidP="00E437ED">
      <w:pPr>
        <w:jc w:val="center"/>
        <w:rPr>
          <w:rFonts w:ascii="Times New Roman" w:hAnsi="Times New Roman"/>
          <w:b/>
          <w:sz w:val="24"/>
          <w:szCs w:val="24"/>
        </w:rPr>
      </w:pPr>
      <w:r w:rsidRPr="001768EE">
        <w:rPr>
          <w:rFonts w:ascii="Times New Roman" w:hAnsi="Times New Roman"/>
          <w:b/>
          <w:sz w:val="24"/>
          <w:szCs w:val="24"/>
        </w:rPr>
        <w:t>Marking Scheme</w:t>
      </w:r>
    </w:p>
    <w:tbl>
      <w:tblPr>
        <w:tblStyle w:val="TableGrid"/>
        <w:tblW w:w="0" w:type="auto"/>
        <w:tblLook w:val="04A0" w:firstRow="1" w:lastRow="0" w:firstColumn="1" w:lastColumn="0" w:noHBand="0" w:noVBand="1"/>
      </w:tblPr>
      <w:tblGrid>
        <w:gridCol w:w="510"/>
        <w:gridCol w:w="4207"/>
        <w:gridCol w:w="3127"/>
        <w:gridCol w:w="1172"/>
      </w:tblGrid>
      <w:tr w:rsidR="00E437ED" w:rsidRPr="001768EE" w14:paraId="4B819838" w14:textId="77777777" w:rsidTr="0056752C">
        <w:tc>
          <w:tcPr>
            <w:tcW w:w="392" w:type="dxa"/>
          </w:tcPr>
          <w:p w14:paraId="605A024A"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No</w:t>
            </w:r>
          </w:p>
        </w:tc>
        <w:tc>
          <w:tcPr>
            <w:tcW w:w="4394" w:type="dxa"/>
          </w:tcPr>
          <w:p w14:paraId="7816C219"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Assessment Criteria </w:t>
            </w:r>
          </w:p>
        </w:tc>
        <w:tc>
          <w:tcPr>
            <w:tcW w:w="3260" w:type="dxa"/>
          </w:tcPr>
          <w:p w14:paraId="1C212488"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Comments</w:t>
            </w:r>
          </w:p>
        </w:tc>
        <w:tc>
          <w:tcPr>
            <w:tcW w:w="1196" w:type="dxa"/>
          </w:tcPr>
          <w:p w14:paraId="3E833B2A"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Marks</w:t>
            </w:r>
          </w:p>
        </w:tc>
      </w:tr>
      <w:tr w:rsidR="00E437ED" w:rsidRPr="001768EE" w14:paraId="108A60F2" w14:textId="77777777" w:rsidTr="0056752C">
        <w:tc>
          <w:tcPr>
            <w:tcW w:w="392" w:type="dxa"/>
          </w:tcPr>
          <w:p w14:paraId="45B96DA4"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1</w:t>
            </w:r>
          </w:p>
        </w:tc>
        <w:tc>
          <w:tcPr>
            <w:tcW w:w="4394" w:type="dxa"/>
          </w:tcPr>
          <w:p w14:paraId="75B0097C"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The extent to which the student has addressed the issues contained within the questions. </w:t>
            </w:r>
          </w:p>
          <w:p w14:paraId="7D68E33D"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(20%)</w:t>
            </w:r>
          </w:p>
        </w:tc>
        <w:tc>
          <w:tcPr>
            <w:tcW w:w="3260" w:type="dxa"/>
          </w:tcPr>
          <w:p w14:paraId="3BE28B7A" w14:textId="77777777" w:rsidR="00E437ED" w:rsidRPr="001768EE" w:rsidRDefault="00E437ED" w:rsidP="0056752C">
            <w:pPr>
              <w:rPr>
                <w:rFonts w:ascii="Times New Roman" w:hAnsi="Times New Roman"/>
                <w:sz w:val="24"/>
                <w:szCs w:val="24"/>
              </w:rPr>
            </w:pPr>
          </w:p>
        </w:tc>
        <w:tc>
          <w:tcPr>
            <w:tcW w:w="1196" w:type="dxa"/>
          </w:tcPr>
          <w:p w14:paraId="7D0DABF2" w14:textId="77777777" w:rsidR="00E437ED" w:rsidRPr="001768EE" w:rsidRDefault="00E437ED" w:rsidP="0056752C">
            <w:pPr>
              <w:rPr>
                <w:rFonts w:ascii="Times New Roman" w:hAnsi="Times New Roman"/>
                <w:sz w:val="24"/>
                <w:szCs w:val="24"/>
              </w:rPr>
            </w:pPr>
          </w:p>
        </w:tc>
      </w:tr>
      <w:tr w:rsidR="00E437ED" w:rsidRPr="001768EE" w14:paraId="3FE7D782" w14:textId="77777777" w:rsidTr="0056752C">
        <w:tc>
          <w:tcPr>
            <w:tcW w:w="392" w:type="dxa"/>
          </w:tcPr>
          <w:p w14:paraId="27B5EB79"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2</w:t>
            </w:r>
          </w:p>
        </w:tc>
        <w:tc>
          <w:tcPr>
            <w:tcW w:w="4394" w:type="dxa"/>
          </w:tcPr>
          <w:p w14:paraId="09174658"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Degree of underpinning knowledge of the theories that relate to each of the questions  </w:t>
            </w:r>
          </w:p>
          <w:p w14:paraId="5CF25916"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(20%).</w:t>
            </w:r>
          </w:p>
        </w:tc>
        <w:tc>
          <w:tcPr>
            <w:tcW w:w="3260" w:type="dxa"/>
          </w:tcPr>
          <w:p w14:paraId="585086E5" w14:textId="77777777" w:rsidR="00E437ED" w:rsidRPr="001768EE" w:rsidRDefault="00E437ED" w:rsidP="0056752C">
            <w:pPr>
              <w:rPr>
                <w:rFonts w:ascii="Times New Roman" w:hAnsi="Times New Roman"/>
                <w:sz w:val="24"/>
                <w:szCs w:val="24"/>
              </w:rPr>
            </w:pPr>
          </w:p>
        </w:tc>
        <w:tc>
          <w:tcPr>
            <w:tcW w:w="1196" w:type="dxa"/>
          </w:tcPr>
          <w:p w14:paraId="2453DA3B" w14:textId="77777777" w:rsidR="00E437ED" w:rsidRPr="001768EE" w:rsidRDefault="00E437ED" w:rsidP="0056752C">
            <w:pPr>
              <w:rPr>
                <w:rFonts w:ascii="Times New Roman" w:hAnsi="Times New Roman"/>
                <w:sz w:val="24"/>
                <w:szCs w:val="24"/>
              </w:rPr>
            </w:pPr>
          </w:p>
        </w:tc>
      </w:tr>
      <w:tr w:rsidR="00E437ED" w:rsidRPr="001768EE" w14:paraId="31C541D5" w14:textId="77777777" w:rsidTr="0056752C">
        <w:tc>
          <w:tcPr>
            <w:tcW w:w="392" w:type="dxa"/>
          </w:tcPr>
          <w:p w14:paraId="3C437A68"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3</w:t>
            </w:r>
          </w:p>
        </w:tc>
        <w:tc>
          <w:tcPr>
            <w:tcW w:w="4394" w:type="dxa"/>
          </w:tcPr>
          <w:p w14:paraId="03BBBC01"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The use of relevant case study material and other sources of relevant information, data and company examples </w:t>
            </w:r>
            <w:r w:rsidRPr="001768EE">
              <w:rPr>
                <w:rFonts w:ascii="Times New Roman" w:hAnsi="Times New Roman"/>
                <w:sz w:val="24"/>
                <w:szCs w:val="24"/>
              </w:rPr>
              <w:lastRenderedPageBreak/>
              <w:t xml:space="preserve">gathered independently for substantiation purposes                    </w:t>
            </w:r>
          </w:p>
          <w:p w14:paraId="54282C22"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(25%).</w:t>
            </w:r>
          </w:p>
        </w:tc>
        <w:tc>
          <w:tcPr>
            <w:tcW w:w="3260" w:type="dxa"/>
          </w:tcPr>
          <w:p w14:paraId="2431EFEA" w14:textId="77777777" w:rsidR="00E437ED" w:rsidRPr="001768EE" w:rsidRDefault="00E437ED" w:rsidP="0056752C">
            <w:pPr>
              <w:rPr>
                <w:rFonts w:ascii="Times New Roman" w:hAnsi="Times New Roman"/>
                <w:sz w:val="24"/>
                <w:szCs w:val="24"/>
              </w:rPr>
            </w:pPr>
          </w:p>
        </w:tc>
        <w:tc>
          <w:tcPr>
            <w:tcW w:w="1196" w:type="dxa"/>
          </w:tcPr>
          <w:p w14:paraId="2ACDBC80" w14:textId="77777777" w:rsidR="00E437ED" w:rsidRPr="001768EE" w:rsidRDefault="00E437ED" w:rsidP="0056752C">
            <w:pPr>
              <w:rPr>
                <w:rFonts w:ascii="Times New Roman" w:hAnsi="Times New Roman"/>
                <w:sz w:val="24"/>
                <w:szCs w:val="24"/>
              </w:rPr>
            </w:pPr>
          </w:p>
        </w:tc>
      </w:tr>
      <w:tr w:rsidR="00E437ED" w:rsidRPr="001768EE" w14:paraId="47652EFF" w14:textId="77777777" w:rsidTr="0056752C">
        <w:tc>
          <w:tcPr>
            <w:tcW w:w="392" w:type="dxa"/>
          </w:tcPr>
          <w:p w14:paraId="777B5F38"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4</w:t>
            </w:r>
          </w:p>
        </w:tc>
        <w:tc>
          <w:tcPr>
            <w:tcW w:w="4394" w:type="dxa"/>
          </w:tcPr>
          <w:p w14:paraId="5300D530"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Degree of analysis and evaluation in developing the arguments.</w:t>
            </w:r>
          </w:p>
          <w:p w14:paraId="61FF775D"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(25%).</w:t>
            </w:r>
          </w:p>
        </w:tc>
        <w:tc>
          <w:tcPr>
            <w:tcW w:w="3260" w:type="dxa"/>
          </w:tcPr>
          <w:p w14:paraId="20931E54" w14:textId="77777777" w:rsidR="00E437ED" w:rsidRPr="001768EE" w:rsidRDefault="00E437ED" w:rsidP="0056752C">
            <w:pPr>
              <w:rPr>
                <w:rFonts w:ascii="Times New Roman" w:hAnsi="Times New Roman"/>
                <w:sz w:val="24"/>
                <w:szCs w:val="24"/>
              </w:rPr>
            </w:pPr>
          </w:p>
        </w:tc>
        <w:tc>
          <w:tcPr>
            <w:tcW w:w="1196" w:type="dxa"/>
          </w:tcPr>
          <w:p w14:paraId="46FF3370" w14:textId="77777777" w:rsidR="00E437ED" w:rsidRPr="001768EE" w:rsidRDefault="00E437ED" w:rsidP="0056752C">
            <w:pPr>
              <w:rPr>
                <w:rFonts w:ascii="Times New Roman" w:hAnsi="Times New Roman"/>
                <w:sz w:val="24"/>
                <w:szCs w:val="24"/>
              </w:rPr>
            </w:pPr>
          </w:p>
        </w:tc>
      </w:tr>
      <w:tr w:rsidR="00E437ED" w:rsidRPr="001768EE" w14:paraId="167F91B5" w14:textId="77777777" w:rsidTr="0056752C">
        <w:tc>
          <w:tcPr>
            <w:tcW w:w="392" w:type="dxa"/>
          </w:tcPr>
          <w:p w14:paraId="0FC8C847"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5</w:t>
            </w:r>
          </w:p>
        </w:tc>
        <w:tc>
          <w:tcPr>
            <w:tcW w:w="4394" w:type="dxa"/>
          </w:tcPr>
          <w:p w14:paraId="24B804E4"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Format, structure and readability of the answer’</w:t>
            </w:r>
          </w:p>
          <w:p w14:paraId="42A0620A"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(10%).</w:t>
            </w:r>
          </w:p>
        </w:tc>
        <w:tc>
          <w:tcPr>
            <w:tcW w:w="3260" w:type="dxa"/>
          </w:tcPr>
          <w:p w14:paraId="1DDDF0DA" w14:textId="77777777" w:rsidR="00E437ED" w:rsidRPr="001768EE" w:rsidRDefault="00E437ED" w:rsidP="0056752C">
            <w:pPr>
              <w:rPr>
                <w:rFonts w:ascii="Times New Roman" w:hAnsi="Times New Roman"/>
                <w:sz w:val="24"/>
                <w:szCs w:val="24"/>
              </w:rPr>
            </w:pPr>
          </w:p>
        </w:tc>
        <w:tc>
          <w:tcPr>
            <w:tcW w:w="1196" w:type="dxa"/>
          </w:tcPr>
          <w:p w14:paraId="666D9F27" w14:textId="77777777" w:rsidR="00E437ED" w:rsidRPr="001768EE" w:rsidRDefault="00E437ED" w:rsidP="0056752C">
            <w:pPr>
              <w:rPr>
                <w:rFonts w:ascii="Times New Roman" w:hAnsi="Times New Roman"/>
                <w:sz w:val="24"/>
                <w:szCs w:val="24"/>
              </w:rPr>
            </w:pPr>
          </w:p>
        </w:tc>
      </w:tr>
      <w:tr w:rsidR="00E437ED" w:rsidRPr="001768EE" w14:paraId="2A408153" w14:textId="77777777" w:rsidTr="0056752C">
        <w:tc>
          <w:tcPr>
            <w:tcW w:w="392" w:type="dxa"/>
          </w:tcPr>
          <w:p w14:paraId="37058DDE" w14:textId="77777777" w:rsidR="00E437ED" w:rsidRPr="001768EE" w:rsidRDefault="00E437ED" w:rsidP="0056752C">
            <w:pPr>
              <w:rPr>
                <w:rFonts w:ascii="Times New Roman" w:hAnsi="Times New Roman"/>
                <w:sz w:val="24"/>
                <w:szCs w:val="24"/>
              </w:rPr>
            </w:pPr>
          </w:p>
        </w:tc>
        <w:tc>
          <w:tcPr>
            <w:tcW w:w="4394" w:type="dxa"/>
          </w:tcPr>
          <w:p w14:paraId="6B205191" w14:textId="77777777" w:rsidR="00E437ED" w:rsidRPr="001768EE" w:rsidRDefault="00E437ED" w:rsidP="0056752C">
            <w:pPr>
              <w:rPr>
                <w:rFonts w:ascii="Times New Roman" w:hAnsi="Times New Roman"/>
                <w:sz w:val="24"/>
                <w:szCs w:val="24"/>
              </w:rPr>
            </w:pPr>
          </w:p>
          <w:p w14:paraId="51E6124C" w14:textId="77777777" w:rsidR="00E437ED" w:rsidRPr="001768EE" w:rsidRDefault="00E437ED" w:rsidP="0056752C">
            <w:pPr>
              <w:rPr>
                <w:rFonts w:ascii="Times New Roman" w:hAnsi="Times New Roman"/>
                <w:sz w:val="24"/>
                <w:szCs w:val="24"/>
              </w:rPr>
            </w:pPr>
            <w:r w:rsidRPr="001768EE">
              <w:rPr>
                <w:rFonts w:ascii="Times New Roman" w:hAnsi="Times New Roman"/>
                <w:sz w:val="24"/>
                <w:szCs w:val="24"/>
              </w:rPr>
              <w:t xml:space="preserve">                                               Total marks</w:t>
            </w:r>
          </w:p>
          <w:p w14:paraId="0258D9BC" w14:textId="77777777" w:rsidR="00E437ED" w:rsidRPr="001768EE" w:rsidRDefault="00E437ED" w:rsidP="0056752C">
            <w:pPr>
              <w:rPr>
                <w:rFonts w:ascii="Times New Roman" w:hAnsi="Times New Roman"/>
                <w:sz w:val="24"/>
                <w:szCs w:val="24"/>
              </w:rPr>
            </w:pPr>
          </w:p>
        </w:tc>
        <w:tc>
          <w:tcPr>
            <w:tcW w:w="3260" w:type="dxa"/>
          </w:tcPr>
          <w:p w14:paraId="25A5B8E5" w14:textId="77777777" w:rsidR="00E437ED" w:rsidRPr="001768EE" w:rsidRDefault="00E437ED" w:rsidP="0056752C">
            <w:pPr>
              <w:rPr>
                <w:rFonts w:ascii="Times New Roman" w:hAnsi="Times New Roman"/>
                <w:sz w:val="24"/>
                <w:szCs w:val="24"/>
              </w:rPr>
            </w:pPr>
          </w:p>
        </w:tc>
        <w:tc>
          <w:tcPr>
            <w:tcW w:w="1196" w:type="dxa"/>
          </w:tcPr>
          <w:p w14:paraId="61B2FA7D" w14:textId="77777777" w:rsidR="00E437ED" w:rsidRPr="001768EE" w:rsidRDefault="00E437ED" w:rsidP="0056752C">
            <w:pPr>
              <w:rPr>
                <w:rFonts w:ascii="Times New Roman" w:hAnsi="Times New Roman"/>
                <w:sz w:val="24"/>
                <w:szCs w:val="24"/>
              </w:rPr>
            </w:pPr>
          </w:p>
        </w:tc>
      </w:tr>
    </w:tbl>
    <w:p w14:paraId="07AE26EC" w14:textId="77777777" w:rsidR="00E437ED" w:rsidRPr="001768EE" w:rsidRDefault="00E437ED" w:rsidP="00E437ED">
      <w:pPr>
        <w:rPr>
          <w:rFonts w:ascii="Times New Roman" w:hAnsi="Times New Roman"/>
          <w:sz w:val="24"/>
          <w:szCs w:val="24"/>
        </w:rPr>
      </w:pPr>
    </w:p>
    <w:p w14:paraId="3F17D013" w14:textId="77777777" w:rsidR="00E437ED" w:rsidRDefault="00E437ED" w:rsidP="00E437ED">
      <w:pPr>
        <w:rPr>
          <w:rFonts w:ascii="Times New Roman" w:hAnsi="Times New Roman"/>
          <w:sz w:val="24"/>
          <w:szCs w:val="24"/>
        </w:rPr>
      </w:pPr>
    </w:p>
    <w:p w14:paraId="0F96466B" w14:textId="77777777" w:rsidR="00E437ED" w:rsidRDefault="00E437ED" w:rsidP="00E437ED">
      <w:pPr>
        <w:rPr>
          <w:rFonts w:ascii="Times New Roman" w:hAnsi="Times New Roman"/>
          <w:sz w:val="24"/>
          <w:szCs w:val="24"/>
        </w:rPr>
      </w:pPr>
    </w:p>
    <w:p w14:paraId="13181E5D" w14:textId="77777777" w:rsidR="00E437ED" w:rsidRDefault="00E437ED" w:rsidP="00E437ED">
      <w:pPr>
        <w:rPr>
          <w:rFonts w:ascii="Times New Roman" w:hAnsi="Times New Roman"/>
          <w:sz w:val="24"/>
          <w:szCs w:val="24"/>
        </w:rPr>
      </w:pPr>
    </w:p>
    <w:p w14:paraId="1F517EB3" w14:textId="77777777" w:rsidR="00E437ED" w:rsidRDefault="00E437ED" w:rsidP="00E437ED">
      <w:pPr>
        <w:rPr>
          <w:rFonts w:ascii="Times New Roman" w:hAnsi="Times New Roman"/>
          <w:sz w:val="24"/>
          <w:szCs w:val="24"/>
        </w:rPr>
      </w:pPr>
    </w:p>
    <w:p w14:paraId="14765340" w14:textId="77777777" w:rsidR="00E437ED" w:rsidRDefault="00E437ED" w:rsidP="00E437ED">
      <w:pPr>
        <w:rPr>
          <w:rFonts w:ascii="Times New Roman" w:hAnsi="Times New Roman"/>
          <w:sz w:val="24"/>
          <w:szCs w:val="24"/>
        </w:rPr>
      </w:pPr>
    </w:p>
    <w:p w14:paraId="1A6476E6" w14:textId="77777777" w:rsidR="00E437ED" w:rsidRDefault="00E437ED" w:rsidP="00E437ED">
      <w:pPr>
        <w:rPr>
          <w:rFonts w:ascii="Times New Roman" w:hAnsi="Times New Roman"/>
          <w:sz w:val="24"/>
          <w:szCs w:val="24"/>
        </w:rPr>
      </w:pPr>
    </w:p>
    <w:p w14:paraId="1B321552" w14:textId="77777777" w:rsidR="00E437ED" w:rsidRDefault="00E437ED" w:rsidP="00E437ED">
      <w:pPr>
        <w:rPr>
          <w:rFonts w:ascii="Times New Roman" w:hAnsi="Times New Roman"/>
          <w:sz w:val="24"/>
          <w:szCs w:val="24"/>
        </w:rPr>
      </w:pPr>
    </w:p>
    <w:p w14:paraId="6B68B45E" w14:textId="77777777" w:rsidR="00E437ED" w:rsidRDefault="00E437ED" w:rsidP="00E437ED">
      <w:pPr>
        <w:rPr>
          <w:rFonts w:ascii="Times New Roman" w:hAnsi="Times New Roman"/>
          <w:sz w:val="24"/>
          <w:szCs w:val="24"/>
        </w:rPr>
      </w:pPr>
    </w:p>
    <w:p w14:paraId="3DBDA562" w14:textId="77777777" w:rsidR="00E437ED" w:rsidRDefault="00E437ED"/>
    <w:sectPr w:rsidR="00E43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55FCF"/>
    <w:multiLevelType w:val="hybridMultilevel"/>
    <w:tmpl w:val="FB5808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7372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ED"/>
    <w:rsid w:val="008003EA"/>
    <w:rsid w:val="00E437E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E27F"/>
  <w15:chartTrackingRefBased/>
  <w15:docId w15:val="{89D5B0F4-A5E4-4A41-8607-C0CA8BA3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ED"/>
    <w:pPr>
      <w:spacing w:after="200" w:line="276" w:lineRule="auto"/>
    </w:pPr>
    <w:rPr>
      <w:rFonts w:ascii="Myriad Pro" w:hAnsi="Myriad Pro" w:cs="Times New Roman"/>
      <w:kern w:val="0"/>
      <w:sz w:val="22"/>
      <w:szCs w:val="22"/>
      <w14:ligatures w14:val="none"/>
    </w:rPr>
  </w:style>
  <w:style w:type="paragraph" w:styleId="Heading1">
    <w:name w:val="heading 1"/>
    <w:basedOn w:val="Normal"/>
    <w:next w:val="Normal"/>
    <w:link w:val="Heading1Char"/>
    <w:uiPriority w:val="9"/>
    <w:qFormat/>
    <w:rsid w:val="00E43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7ED"/>
    <w:rPr>
      <w:rFonts w:eastAsiaTheme="majorEastAsia" w:cstheme="majorBidi"/>
      <w:color w:val="272727" w:themeColor="text1" w:themeTint="D8"/>
    </w:rPr>
  </w:style>
  <w:style w:type="paragraph" w:styleId="Title">
    <w:name w:val="Title"/>
    <w:basedOn w:val="Normal"/>
    <w:next w:val="Normal"/>
    <w:link w:val="TitleChar"/>
    <w:uiPriority w:val="10"/>
    <w:qFormat/>
    <w:rsid w:val="00E43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7ED"/>
    <w:pPr>
      <w:spacing w:before="160"/>
      <w:jc w:val="center"/>
    </w:pPr>
    <w:rPr>
      <w:i/>
      <w:iCs/>
      <w:color w:val="404040" w:themeColor="text1" w:themeTint="BF"/>
    </w:rPr>
  </w:style>
  <w:style w:type="character" w:customStyle="1" w:styleId="QuoteChar">
    <w:name w:val="Quote Char"/>
    <w:basedOn w:val="DefaultParagraphFont"/>
    <w:link w:val="Quote"/>
    <w:uiPriority w:val="29"/>
    <w:rsid w:val="00E437ED"/>
    <w:rPr>
      <w:i/>
      <w:iCs/>
      <w:color w:val="404040" w:themeColor="text1" w:themeTint="BF"/>
    </w:rPr>
  </w:style>
  <w:style w:type="paragraph" w:styleId="ListParagraph">
    <w:name w:val="List Paragraph"/>
    <w:basedOn w:val="Normal"/>
    <w:uiPriority w:val="34"/>
    <w:qFormat/>
    <w:rsid w:val="00E437ED"/>
    <w:pPr>
      <w:ind w:left="720"/>
      <w:contextualSpacing/>
    </w:pPr>
  </w:style>
  <w:style w:type="character" w:styleId="IntenseEmphasis">
    <w:name w:val="Intense Emphasis"/>
    <w:basedOn w:val="DefaultParagraphFont"/>
    <w:uiPriority w:val="21"/>
    <w:qFormat/>
    <w:rsid w:val="00E437ED"/>
    <w:rPr>
      <w:i/>
      <w:iCs/>
      <w:color w:val="0F4761" w:themeColor="accent1" w:themeShade="BF"/>
    </w:rPr>
  </w:style>
  <w:style w:type="paragraph" w:styleId="IntenseQuote">
    <w:name w:val="Intense Quote"/>
    <w:basedOn w:val="Normal"/>
    <w:next w:val="Normal"/>
    <w:link w:val="IntenseQuoteChar"/>
    <w:uiPriority w:val="30"/>
    <w:qFormat/>
    <w:rsid w:val="00E43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7ED"/>
    <w:rPr>
      <w:i/>
      <w:iCs/>
      <w:color w:val="0F4761" w:themeColor="accent1" w:themeShade="BF"/>
    </w:rPr>
  </w:style>
  <w:style w:type="character" w:styleId="IntenseReference">
    <w:name w:val="Intense Reference"/>
    <w:basedOn w:val="DefaultParagraphFont"/>
    <w:uiPriority w:val="32"/>
    <w:qFormat/>
    <w:rsid w:val="00E437ED"/>
    <w:rPr>
      <w:b/>
      <w:bCs/>
      <w:smallCaps/>
      <w:color w:val="0F4761" w:themeColor="accent1" w:themeShade="BF"/>
      <w:spacing w:val="5"/>
    </w:rPr>
  </w:style>
  <w:style w:type="paragraph" w:styleId="NoSpacing">
    <w:name w:val="No Spacing"/>
    <w:uiPriority w:val="1"/>
    <w:qFormat/>
    <w:rsid w:val="00E437ED"/>
    <w:pPr>
      <w:spacing w:after="0" w:line="240" w:lineRule="auto"/>
    </w:pPr>
    <w:rPr>
      <w:rFonts w:ascii="Myriad Pro" w:hAnsi="Myriad Pro" w:cs="Times New Roman"/>
      <w:kern w:val="0"/>
      <w:sz w:val="22"/>
      <w:szCs w:val="22"/>
      <w14:ligatures w14:val="none"/>
    </w:rPr>
  </w:style>
  <w:style w:type="table" w:styleId="TableGrid">
    <w:name w:val="Table Grid"/>
    <w:basedOn w:val="TableNormal"/>
    <w:uiPriority w:val="39"/>
    <w:rsid w:val="00E437ED"/>
    <w:pPr>
      <w:spacing w:after="0" w:line="240" w:lineRule="auto"/>
    </w:pPr>
    <w:rPr>
      <w:rFonts w:ascii="Myriad Pro" w:hAnsi="Myriad Pro"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 Kumaran</dc:creator>
  <cp:keywords/>
  <dc:description/>
  <cp:lastModifiedBy>Thiru Kumaran</cp:lastModifiedBy>
  <cp:revision>1</cp:revision>
  <dcterms:created xsi:type="dcterms:W3CDTF">2024-07-05T09:24:00Z</dcterms:created>
  <dcterms:modified xsi:type="dcterms:W3CDTF">2024-07-05T09:24:00Z</dcterms:modified>
</cp:coreProperties>
</file>