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6670" w14:textId="15EFEE08" w:rsidR="005B32CB" w:rsidRPr="005B32CB" w:rsidRDefault="005B32CB" w:rsidP="005B32CB">
      <w:pPr>
        <w:rPr>
          <w:rFonts w:ascii="Times New Roman" w:hAnsi="Times New Roman"/>
          <w:b/>
          <w:sz w:val="28"/>
          <w:szCs w:val="28"/>
        </w:rPr>
      </w:pPr>
      <w:r w:rsidRPr="005B32CB">
        <w:rPr>
          <w:rFonts w:ascii="Times New Roman" w:hAnsi="Times New Roman"/>
          <w:b/>
          <w:sz w:val="28"/>
          <w:szCs w:val="28"/>
        </w:rPr>
        <w:t>OBM 4407 STRATEGIC MANAGEMENT</w:t>
      </w:r>
    </w:p>
    <w:p w14:paraId="359B7C33" w14:textId="77777777" w:rsidR="005B32CB" w:rsidRDefault="005B32CB" w:rsidP="005B32CB">
      <w:pPr>
        <w:rPr>
          <w:rFonts w:ascii="Times New Roman" w:hAnsi="Times New Roman"/>
          <w:b/>
          <w:sz w:val="24"/>
          <w:szCs w:val="24"/>
        </w:rPr>
      </w:pPr>
    </w:p>
    <w:p w14:paraId="00824E35" w14:textId="015BB0D5" w:rsidR="005B32CB" w:rsidRPr="004F139A" w:rsidRDefault="005B32CB" w:rsidP="005B32CB">
      <w:pPr>
        <w:rPr>
          <w:rFonts w:ascii="Times New Roman" w:hAnsi="Times New Roman"/>
          <w:b/>
          <w:sz w:val="24"/>
          <w:szCs w:val="24"/>
        </w:rPr>
      </w:pPr>
      <w:r w:rsidRPr="004F139A">
        <w:rPr>
          <w:rFonts w:ascii="Times New Roman" w:hAnsi="Times New Roman"/>
          <w:b/>
          <w:sz w:val="24"/>
          <w:szCs w:val="24"/>
        </w:rPr>
        <w:t xml:space="preserve">Individual Assignment 1 </w:t>
      </w:r>
    </w:p>
    <w:p w14:paraId="21FEFA5B" w14:textId="77777777" w:rsidR="005B32CB" w:rsidRDefault="005B32CB" w:rsidP="005B32CB">
      <w:pPr>
        <w:rPr>
          <w:rFonts w:ascii="Times New Roman" w:hAnsi="Times New Roman"/>
          <w:b/>
          <w:sz w:val="24"/>
          <w:szCs w:val="24"/>
        </w:rPr>
      </w:pPr>
      <w:r>
        <w:rPr>
          <w:rFonts w:ascii="Times New Roman" w:hAnsi="Times New Roman"/>
          <w:b/>
          <w:sz w:val="24"/>
          <w:szCs w:val="24"/>
        </w:rPr>
        <w:t>Global forces and the Western European Brewing Industry</w:t>
      </w:r>
    </w:p>
    <w:p w14:paraId="4DD74A41" w14:textId="77777777" w:rsidR="005B32CB" w:rsidRDefault="005B32CB" w:rsidP="005B32CB">
      <w:pPr>
        <w:rPr>
          <w:rFonts w:ascii="Times New Roman" w:hAnsi="Times New Roman"/>
          <w:sz w:val="24"/>
          <w:szCs w:val="24"/>
        </w:rPr>
      </w:pPr>
      <w:r w:rsidRPr="003B6B3A">
        <w:rPr>
          <w:rFonts w:ascii="Times New Roman" w:hAnsi="Times New Roman"/>
          <w:sz w:val="24"/>
          <w:szCs w:val="24"/>
        </w:rPr>
        <w:t>In the early years of the 21</w:t>
      </w:r>
      <w:r w:rsidRPr="003B6B3A">
        <w:rPr>
          <w:rFonts w:ascii="Times New Roman" w:hAnsi="Times New Roman"/>
          <w:sz w:val="24"/>
          <w:szCs w:val="24"/>
          <w:vertAlign w:val="superscript"/>
        </w:rPr>
        <w:t>st</w:t>
      </w:r>
      <w:r w:rsidRPr="003B6B3A">
        <w:rPr>
          <w:rFonts w:ascii="Times New Roman" w:hAnsi="Times New Roman"/>
          <w:sz w:val="24"/>
          <w:szCs w:val="24"/>
        </w:rPr>
        <w:t xml:space="preserve"> century, European brewers faced a surprising paradox.  The traditional centre of the best industry worldwide and home to the world’s largest brewing companies, /Europe was turning off beer.  Beer consumption was falling in the largest markets of Germany, and the United Kingdom, while burgeoning in emerging markets around the world.   In 2008, Europe’s largest market, Germany, ranked only 5</w:t>
      </w:r>
      <w:r w:rsidRPr="003B6B3A">
        <w:rPr>
          <w:rFonts w:ascii="Times New Roman" w:hAnsi="Times New Roman"/>
          <w:sz w:val="24"/>
          <w:szCs w:val="24"/>
          <w:vertAlign w:val="superscript"/>
        </w:rPr>
        <w:t>th</w:t>
      </w:r>
      <w:r w:rsidRPr="003B6B3A">
        <w:rPr>
          <w:rFonts w:ascii="Times New Roman" w:hAnsi="Times New Roman"/>
          <w:sz w:val="24"/>
          <w:szCs w:val="24"/>
        </w:rPr>
        <w:t xml:space="preserve"> in the world, behind China, the United States, </w:t>
      </w:r>
      <w:proofErr w:type="gramStart"/>
      <w:r w:rsidRPr="003B6B3A">
        <w:rPr>
          <w:rFonts w:ascii="Times New Roman" w:hAnsi="Times New Roman"/>
          <w:sz w:val="24"/>
          <w:szCs w:val="24"/>
        </w:rPr>
        <w:t>Brazil</w:t>
      </w:r>
      <w:proofErr w:type="gramEnd"/>
      <w:r w:rsidRPr="003B6B3A">
        <w:rPr>
          <w:rFonts w:ascii="Times New Roman" w:hAnsi="Times New Roman"/>
          <w:sz w:val="24"/>
          <w:szCs w:val="24"/>
        </w:rPr>
        <w:t xml:space="preserve"> and Russia.   China, with 12% annual growth between 2003 and 2008, had become the largest single market by volume, alone accounting for 23% of world consumption (Euromonitor, 2010).</w:t>
      </w:r>
    </w:p>
    <w:p w14:paraId="574872BF" w14:textId="77777777" w:rsidR="005B32CB" w:rsidRPr="00C32EB5" w:rsidRDefault="005B32CB" w:rsidP="005B32CB">
      <w:pPr>
        <w:pStyle w:val="NoSpacing"/>
        <w:rPr>
          <w:rFonts w:ascii="Times New Roman" w:hAnsi="Times New Roman"/>
          <w:sz w:val="24"/>
          <w:szCs w:val="24"/>
        </w:rPr>
      </w:pPr>
      <w:r w:rsidRPr="00C32EB5">
        <w:rPr>
          <w:rFonts w:ascii="Times New Roman" w:hAnsi="Times New Roman"/>
          <w:sz w:val="24"/>
          <w:szCs w:val="24"/>
        </w:rPr>
        <w:t>The decline of beer consumption in Europe has been to several factors:</w:t>
      </w:r>
    </w:p>
    <w:p w14:paraId="1166E45A"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Governments are campaigning strongly against drunken driving, affecting the propensity to drink beer in restaurants, </w:t>
      </w:r>
      <w:proofErr w:type="gramStart"/>
      <w:r>
        <w:rPr>
          <w:rFonts w:ascii="Times New Roman" w:hAnsi="Times New Roman"/>
          <w:sz w:val="24"/>
          <w:szCs w:val="24"/>
        </w:rPr>
        <w:t>pubs</w:t>
      </w:r>
      <w:proofErr w:type="gramEnd"/>
      <w:r>
        <w:rPr>
          <w:rFonts w:ascii="Times New Roman" w:hAnsi="Times New Roman"/>
          <w:sz w:val="24"/>
          <w:szCs w:val="24"/>
        </w:rPr>
        <w:t xml:space="preserve"> and bars.</w:t>
      </w:r>
    </w:p>
    <w:p w14:paraId="335317CE"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There is increasing awareness of the effects of alcohol on health and fitness.</w:t>
      </w:r>
    </w:p>
    <w:p w14:paraId="15C4FBC7"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There is increasing hostility to so-called “binge-drinking’</w:t>
      </w:r>
      <w:proofErr w:type="gramStart"/>
      <w:r>
        <w:rPr>
          <w:rFonts w:ascii="Times New Roman" w:hAnsi="Times New Roman"/>
          <w:sz w:val="24"/>
          <w:szCs w:val="24"/>
        </w:rPr>
        <w:t>, ,</w:t>
      </w:r>
      <w:proofErr w:type="gramEnd"/>
      <w:r>
        <w:rPr>
          <w:rFonts w:ascii="Times New Roman" w:hAnsi="Times New Roman"/>
          <w:sz w:val="24"/>
          <w:szCs w:val="24"/>
        </w:rPr>
        <w:t xml:space="preserve"> excessive alcohol consumption in pubs and clubs.  </w:t>
      </w:r>
    </w:p>
    <w:p w14:paraId="40FBAEC6"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Wines have also become increasingly popular in Northern European markets.</w:t>
      </w:r>
    </w:p>
    <w:p w14:paraId="126CC596"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Beer consumption per capital varies widely between countries, being four times higher in Germany than in Italy, for example.  </w:t>
      </w:r>
    </w:p>
    <w:p w14:paraId="71E4D54B"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Some low consumption European markets have been showing good growth.</w:t>
      </w:r>
    </w:p>
    <w:p w14:paraId="72D79B39"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The drive against drunken driving and binge drinking has helped shift sales from the on-trade (beer consumed on the premises, as in pubs or restaurants) to the off trade (retail).   </w:t>
      </w:r>
    </w:p>
    <w:p w14:paraId="546AD902"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Worldwide, the </w:t>
      </w:r>
      <w:proofErr w:type="gramStart"/>
      <w:r>
        <w:rPr>
          <w:rFonts w:ascii="Times New Roman" w:hAnsi="Times New Roman"/>
          <w:sz w:val="24"/>
          <w:szCs w:val="24"/>
        </w:rPr>
        <w:t>off-trade</w:t>
      </w:r>
      <w:proofErr w:type="gramEnd"/>
      <w:r>
        <w:rPr>
          <w:rFonts w:ascii="Times New Roman" w:hAnsi="Times New Roman"/>
          <w:sz w:val="24"/>
          <w:szCs w:val="24"/>
        </w:rPr>
        <w:t xml:space="preserve"> increased from 63% of volume in 2000 to 67% in 2008.  </w:t>
      </w:r>
    </w:p>
    <w:p w14:paraId="221412F2"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off-trade</w:t>
      </w:r>
      <w:proofErr w:type="gramEnd"/>
      <w:r>
        <w:rPr>
          <w:rFonts w:ascii="Times New Roman" w:hAnsi="Times New Roman"/>
          <w:sz w:val="24"/>
          <w:szCs w:val="24"/>
        </w:rPr>
        <w:t xml:space="preserve"> is increasingly dominated by supermarket chains such Tesco or Carrefour, who often use cut-price offers on beer in order to lure people into their shops.</w:t>
      </w:r>
    </w:p>
    <w:p w14:paraId="772792FF"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More than one fifth of beer volume is now sold through supermarkets.  German retailers such as Aidi and Lidi have had considerable success with their own private-label (rather than brewery-branded) beers.  </w:t>
      </w:r>
    </w:p>
    <w:p w14:paraId="443F2C9C"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Pubs have suffered in the United Kingdom, an estimated 50 pubs closed per week during the recessionary year 2009.  </w:t>
      </w:r>
    </w:p>
    <w:p w14:paraId="469F2CC5"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 xml:space="preserve">However, although on-trade volumes are falling in Europe, the sales values are generally rising, as brewers introduce higher-priced premium products such as non-alcoholic beers, extra cold </w:t>
      </w:r>
      <w:proofErr w:type="gramStart"/>
      <w:r>
        <w:rPr>
          <w:rFonts w:ascii="Times New Roman" w:hAnsi="Times New Roman"/>
          <w:sz w:val="24"/>
          <w:szCs w:val="24"/>
        </w:rPr>
        <w:t>lagers</w:t>
      </w:r>
      <w:proofErr w:type="gramEnd"/>
      <w:r>
        <w:rPr>
          <w:rFonts w:ascii="Times New Roman" w:hAnsi="Times New Roman"/>
          <w:sz w:val="24"/>
          <w:szCs w:val="24"/>
        </w:rPr>
        <w:t xml:space="preserve"> or fruit-flavoured beers.   </w:t>
      </w:r>
    </w:p>
    <w:p w14:paraId="63856212" w14:textId="77777777" w:rsidR="005B32CB" w:rsidRDefault="005B32CB" w:rsidP="005B32CB">
      <w:pPr>
        <w:pStyle w:val="NoSpacing"/>
        <w:numPr>
          <w:ilvl w:val="0"/>
          <w:numId w:val="1"/>
        </w:numPr>
        <w:ind w:left="426" w:hanging="426"/>
        <w:rPr>
          <w:rFonts w:ascii="Times New Roman" w:hAnsi="Times New Roman"/>
          <w:sz w:val="24"/>
          <w:szCs w:val="24"/>
        </w:rPr>
      </w:pPr>
      <w:r>
        <w:rPr>
          <w:rFonts w:ascii="Times New Roman" w:hAnsi="Times New Roman"/>
          <w:sz w:val="24"/>
          <w:szCs w:val="24"/>
        </w:rPr>
        <w:t>However, a good deal of this increasing demand for premium products is being satisfied by the import of apparently exotic beers from overseas.</w:t>
      </w:r>
    </w:p>
    <w:p w14:paraId="0F104AF2" w14:textId="77777777" w:rsidR="005B32CB" w:rsidRDefault="005B32CB" w:rsidP="005B32CB">
      <w:pPr>
        <w:pStyle w:val="NoSpacing"/>
        <w:rPr>
          <w:rFonts w:ascii="Times New Roman" w:hAnsi="Times New Roman"/>
          <w:sz w:val="24"/>
          <w:szCs w:val="24"/>
        </w:rPr>
      </w:pPr>
    </w:p>
    <w:p w14:paraId="7F17E9CC"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Brewers main purchasing costs are packaging (accounting for around half of non-labour costs), raw material such barley, and energy.   The European packaging industry is highly concentrated, dominated by international companies such as Crown in cans and Owens Illinois in glass bottles.   In the United Kingdom, for example, there are just three can makers: Bail Packaging Europe, Crown </w:t>
      </w:r>
      <w:proofErr w:type="spellStart"/>
      <w:r>
        <w:rPr>
          <w:rFonts w:ascii="Times New Roman" w:hAnsi="Times New Roman"/>
          <w:sz w:val="24"/>
          <w:szCs w:val="24"/>
        </w:rPr>
        <w:t>Bevcan</w:t>
      </w:r>
      <w:proofErr w:type="spellEnd"/>
      <w:r>
        <w:rPr>
          <w:rFonts w:ascii="Times New Roman" w:hAnsi="Times New Roman"/>
          <w:sz w:val="24"/>
          <w:szCs w:val="24"/>
        </w:rPr>
        <w:t xml:space="preserve"> and REXAM.</w:t>
      </w:r>
    </w:p>
    <w:p w14:paraId="537126AD" w14:textId="77777777" w:rsidR="005B32CB" w:rsidRDefault="005B32CB" w:rsidP="005B32CB">
      <w:pPr>
        <w:pStyle w:val="NoSpacing"/>
        <w:rPr>
          <w:rFonts w:ascii="Times New Roman" w:hAnsi="Times New Roman"/>
          <w:sz w:val="24"/>
          <w:szCs w:val="24"/>
        </w:rPr>
      </w:pPr>
    </w:p>
    <w:p w14:paraId="36E5A685" w14:textId="77777777" w:rsidR="005B32CB" w:rsidRDefault="005B32CB" w:rsidP="005B32CB">
      <w:pPr>
        <w:pStyle w:val="NoSpacing"/>
        <w:rPr>
          <w:rFonts w:ascii="Times New Roman" w:hAnsi="Times New Roman"/>
          <w:sz w:val="24"/>
          <w:szCs w:val="24"/>
        </w:rPr>
      </w:pPr>
      <w:r>
        <w:rPr>
          <w:rFonts w:ascii="Times New Roman" w:hAnsi="Times New Roman"/>
          <w:sz w:val="24"/>
          <w:szCs w:val="24"/>
        </w:rPr>
        <w:lastRenderedPageBreak/>
        <w:t xml:space="preserve">Acquisition, </w:t>
      </w:r>
      <w:proofErr w:type="gramStart"/>
      <w:r>
        <w:rPr>
          <w:rFonts w:ascii="Times New Roman" w:hAnsi="Times New Roman"/>
          <w:sz w:val="24"/>
          <w:szCs w:val="24"/>
        </w:rPr>
        <w:t>licensing</w:t>
      </w:r>
      <w:proofErr w:type="gramEnd"/>
      <w:r>
        <w:rPr>
          <w:rFonts w:ascii="Times New Roman" w:hAnsi="Times New Roman"/>
          <w:sz w:val="24"/>
          <w:szCs w:val="24"/>
        </w:rPr>
        <w:t xml:space="preserve"> and strategic alliances have all occurred as the leading brewers battle to control the market.  There are global pressures for consolidation due to over-capacity within the industry, the need to contain costs and benefits of leveraging strong brands.  For example, in 2004, Belgian brewer </w:t>
      </w:r>
      <w:proofErr w:type="spellStart"/>
      <w:r>
        <w:rPr>
          <w:rFonts w:ascii="Times New Roman" w:hAnsi="Times New Roman"/>
          <w:sz w:val="24"/>
          <w:szCs w:val="24"/>
        </w:rPr>
        <w:t>interbrew</w:t>
      </w:r>
      <w:proofErr w:type="spellEnd"/>
      <w:r>
        <w:rPr>
          <w:rFonts w:ascii="Times New Roman" w:hAnsi="Times New Roman"/>
          <w:sz w:val="24"/>
          <w:szCs w:val="24"/>
        </w:rPr>
        <w:t xml:space="preserve"> merged with </w:t>
      </w:r>
      <w:proofErr w:type="gramStart"/>
      <w:r>
        <w:rPr>
          <w:rFonts w:ascii="Times New Roman" w:hAnsi="Times New Roman"/>
          <w:sz w:val="24"/>
          <w:szCs w:val="24"/>
        </w:rPr>
        <w:t>Am  Bev</w:t>
      </w:r>
      <w:proofErr w:type="gramEnd"/>
      <w:r>
        <w:rPr>
          <w:rFonts w:ascii="Times New Roman" w:hAnsi="Times New Roman"/>
          <w:sz w:val="24"/>
          <w:szCs w:val="24"/>
        </w:rPr>
        <w:t xml:space="preserve">, the Brazilian brewery group, to create the largest brewer in the world, InBev.   In </w:t>
      </w:r>
      <w:proofErr w:type="gramStart"/>
      <w:r>
        <w:rPr>
          <w:rFonts w:ascii="Times New Roman" w:hAnsi="Times New Roman"/>
          <w:sz w:val="24"/>
          <w:szCs w:val="24"/>
        </w:rPr>
        <w:t>2008,  the</w:t>
      </w:r>
      <w:proofErr w:type="gramEnd"/>
      <w:r>
        <w:rPr>
          <w:rFonts w:ascii="Times New Roman" w:hAnsi="Times New Roman"/>
          <w:sz w:val="24"/>
          <w:szCs w:val="24"/>
        </w:rPr>
        <w:t xml:space="preserve"> new </w:t>
      </w:r>
      <w:proofErr w:type="spellStart"/>
      <w:r>
        <w:rPr>
          <w:rFonts w:ascii="Times New Roman" w:hAnsi="Times New Roman"/>
          <w:sz w:val="24"/>
          <w:szCs w:val="24"/>
        </w:rPr>
        <w:t>Inbev</w:t>
      </w:r>
      <w:proofErr w:type="spellEnd"/>
      <w:r>
        <w:rPr>
          <w:rFonts w:ascii="Times New Roman" w:hAnsi="Times New Roman"/>
          <w:sz w:val="24"/>
          <w:szCs w:val="24"/>
        </w:rPr>
        <w:t xml:space="preserve"> bought the second largest brewer, the American Anheuser-Busch, giving it nearly 20%of the world market.  In 2002, South African Breweries acquired the Mi9ller Group (USA) and Pilsner </w:t>
      </w:r>
      <w:proofErr w:type="spellStart"/>
      <w:r>
        <w:rPr>
          <w:rFonts w:ascii="Times New Roman" w:hAnsi="Times New Roman"/>
          <w:sz w:val="24"/>
          <w:szCs w:val="24"/>
        </w:rPr>
        <w:t>Uruquell</w:t>
      </w:r>
      <w:proofErr w:type="spellEnd"/>
      <w:r>
        <w:rPr>
          <w:rFonts w:ascii="Times New Roman" w:hAnsi="Times New Roman"/>
          <w:sz w:val="24"/>
          <w:szCs w:val="24"/>
        </w:rPr>
        <w:t xml:space="preserve"> in the Czech Republic, becoming SABMiller.   SABMiller in turn bought Dutch specialist </w:t>
      </w:r>
      <w:proofErr w:type="spellStart"/>
      <w:r>
        <w:rPr>
          <w:rFonts w:ascii="Times New Roman" w:hAnsi="Times New Roman"/>
          <w:sz w:val="24"/>
          <w:szCs w:val="24"/>
        </w:rPr>
        <w:t>Grolsch</w:t>
      </w:r>
      <w:proofErr w:type="spellEnd"/>
      <w:r>
        <w:rPr>
          <w:rFonts w:ascii="Times New Roman" w:hAnsi="Times New Roman"/>
          <w:sz w:val="24"/>
          <w:szCs w:val="24"/>
        </w:rPr>
        <w:t xml:space="preserve"> in 2007.  Smaller players in the fast-growing Chinese and Latin American markets are being </w:t>
      </w:r>
      <w:proofErr w:type="spellStart"/>
      <w:r>
        <w:rPr>
          <w:rFonts w:ascii="Times New Roman" w:hAnsi="Times New Roman"/>
          <w:sz w:val="24"/>
          <w:szCs w:val="24"/>
        </w:rPr>
        <w:t>sm</w:t>
      </w:r>
      <w:proofErr w:type="spellEnd"/>
      <w:r>
        <w:rPr>
          <w:rFonts w:ascii="Times New Roman" w:hAnsi="Times New Roman"/>
          <w:sz w:val="24"/>
          <w:szCs w:val="24"/>
        </w:rPr>
        <w:t>\</w:t>
      </w:r>
      <w:proofErr w:type="spellStart"/>
      <w:r>
        <w:rPr>
          <w:rFonts w:ascii="Times New Roman" w:hAnsi="Times New Roman"/>
          <w:sz w:val="24"/>
          <w:szCs w:val="24"/>
        </w:rPr>
        <w:t>napped</w:t>
      </w:r>
      <w:proofErr w:type="spellEnd"/>
      <w:r>
        <w:rPr>
          <w:rFonts w:ascii="Times New Roman" w:hAnsi="Times New Roman"/>
          <w:sz w:val="24"/>
          <w:szCs w:val="24"/>
        </w:rPr>
        <w:t xml:space="preserve"> up by the large international brewers too: in 20110, Dutch Heineken bought Mexico’s second largest brewery, FEMSA.  On the other hand, medium sized Australian brewer Fosters has withdrawn from the European market.  The European Commission fined Heineken and </w:t>
      </w:r>
      <w:proofErr w:type="spellStart"/>
      <w:r>
        <w:rPr>
          <w:rFonts w:ascii="Times New Roman" w:hAnsi="Times New Roman"/>
          <w:sz w:val="24"/>
          <w:szCs w:val="24"/>
        </w:rPr>
        <w:t>Kronenbourg</w:t>
      </w:r>
      <w:proofErr w:type="spellEnd"/>
      <w:r>
        <w:rPr>
          <w:rFonts w:ascii="Times New Roman" w:hAnsi="Times New Roman"/>
          <w:sz w:val="24"/>
          <w:szCs w:val="24"/>
        </w:rPr>
        <w:t xml:space="preserve"> in 2004 for price-fixing in France and Heineken, </w:t>
      </w:r>
      <w:proofErr w:type="spellStart"/>
      <w:r>
        <w:rPr>
          <w:rFonts w:ascii="Times New Roman" w:hAnsi="Times New Roman"/>
          <w:sz w:val="24"/>
          <w:szCs w:val="24"/>
        </w:rPr>
        <w:t>Grolsch</w:t>
      </w:r>
      <w:proofErr w:type="spellEnd"/>
      <w:r>
        <w:rPr>
          <w:rFonts w:ascii="Times New Roman" w:hAnsi="Times New Roman"/>
          <w:sz w:val="24"/>
          <w:szCs w:val="24"/>
        </w:rPr>
        <w:t xml:space="preserve"> and Bavaria in 2007 for a price-fixing cartel in the Dutch market.</w:t>
      </w:r>
    </w:p>
    <w:p w14:paraId="233216D5" w14:textId="77777777" w:rsidR="005B32CB" w:rsidRDefault="005B32CB" w:rsidP="005B32CB">
      <w:pPr>
        <w:pStyle w:val="NoSpacing"/>
        <w:rPr>
          <w:rFonts w:ascii="Times New Roman" w:hAnsi="Times New Roman"/>
          <w:sz w:val="24"/>
          <w:szCs w:val="24"/>
        </w:rPr>
      </w:pPr>
    </w:p>
    <w:p w14:paraId="53A2AD0A"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In 2009, 10 companies accounted for about 60% of world beer volume.  </w:t>
      </w:r>
    </w:p>
    <w:p w14:paraId="22D5334C" w14:textId="77777777" w:rsidR="005B32CB" w:rsidRDefault="005B32CB" w:rsidP="005B32CB">
      <w:pPr>
        <w:pStyle w:val="NoSpacing"/>
        <w:rPr>
          <w:rFonts w:ascii="Times New Roman" w:hAnsi="Times New Roman"/>
          <w:sz w:val="24"/>
          <w:szCs w:val="24"/>
        </w:rPr>
      </w:pPr>
    </w:p>
    <w:tbl>
      <w:tblPr>
        <w:tblStyle w:val="TableGrid"/>
        <w:tblW w:w="0" w:type="auto"/>
        <w:tblInd w:w="1384" w:type="dxa"/>
        <w:tblLook w:val="04A0" w:firstRow="1" w:lastRow="0" w:firstColumn="1" w:lastColumn="0" w:noHBand="0" w:noVBand="1"/>
      </w:tblPr>
      <w:tblGrid>
        <w:gridCol w:w="3237"/>
        <w:gridCol w:w="2717"/>
      </w:tblGrid>
      <w:tr w:rsidR="005B32CB" w14:paraId="7DC83231" w14:textId="77777777" w:rsidTr="00907AD2">
        <w:tc>
          <w:tcPr>
            <w:tcW w:w="3237" w:type="dxa"/>
          </w:tcPr>
          <w:p w14:paraId="681DBC34"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2009</w:t>
            </w:r>
          </w:p>
        </w:tc>
        <w:tc>
          <w:tcPr>
            <w:tcW w:w="2717" w:type="dxa"/>
          </w:tcPr>
          <w:p w14:paraId="57CA0FAD" w14:textId="77777777" w:rsidR="005B32CB" w:rsidRDefault="005B32CB" w:rsidP="00907AD2">
            <w:pPr>
              <w:pStyle w:val="NoSpacing"/>
              <w:rPr>
                <w:rFonts w:ascii="Times New Roman" w:hAnsi="Times New Roman"/>
                <w:sz w:val="24"/>
                <w:szCs w:val="24"/>
              </w:rPr>
            </w:pPr>
          </w:p>
        </w:tc>
      </w:tr>
      <w:tr w:rsidR="005B32CB" w14:paraId="4435ED27" w14:textId="77777777" w:rsidTr="00907AD2">
        <w:tc>
          <w:tcPr>
            <w:tcW w:w="3237" w:type="dxa"/>
          </w:tcPr>
          <w:p w14:paraId="043A738C"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Company</w:t>
            </w:r>
          </w:p>
          <w:p w14:paraId="516F6B25"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A-B in Bev (Belgium)</w:t>
            </w:r>
          </w:p>
          <w:p w14:paraId="3A6E4781"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SABMiller (UK)</w:t>
            </w:r>
          </w:p>
          <w:p w14:paraId="33B9EA45"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Heineken (Dutch)</w:t>
            </w:r>
          </w:p>
          <w:p w14:paraId="7E5D1AB3"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Carlsberg (Danish)</w:t>
            </w:r>
          </w:p>
          <w:p w14:paraId="54D649B9"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 xml:space="preserve">China </w:t>
            </w:r>
            <w:proofErr w:type="spellStart"/>
            <w:r>
              <w:rPr>
                <w:rFonts w:ascii="Times New Roman" w:hAnsi="Times New Roman"/>
                <w:sz w:val="24"/>
                <w:szCs w:val="24"/>
              </w:rPr>
              <w:t>Resourcess</w:t>
            </w:r>
            <w:proofErr w:type="spellEnd"/>
            <w:r>
              <w:rPr>
                <w:rFonts w:ascii="Times New Roman" w:hAnsi="Times New Roman"/>
                <w:sz w:val="24"/>
                <w:szCs w:val="24"/>
              </w:rPr>
              <w:t xml:space="preserve"> (China)</w:t>
            </w:r>
          </w:p>
          <w:p w14:paraId="3BD7326C" w14:textId="77777777" w:rsidR="005B32CB" w:rsidRDefault="005B32CB" w:rsidP="00907AD2">
            <w:pPr>
              <w:pStyle w:val="NoSpacing"/>
              <w:rPr>
                <w:rFonts w:ascii="Times New Roman" w:hAnsi="Times New Roman"/>
                <w:sz w:val="24"/>
                <w:szCs w:val="24"/>
              </w:rPr>
            </w:pPr>
            <w:proofErr w:type="spellStart"/>
            <w:r>
              <w:rPr>
                <w:rFonts w:ascii="Times New Roman" w:hAnsi="Times New Roman"/>
                <w:sz w:val="24"/>
                <w:szCs w:val="24"/>
              </w:rPr>
              <w:t>Tsingian</w:t>
            </w:r>
            <w:proofErr w:type="spellEnd"/>
            <w:r>
              <w:rPr>
                <w:rFonts w:ascii="Times New Roman" w:hAnsi="Times New Roman"/>
                <w:sz w:val="24"/>
                <w:szCs w:val="24"/>
              </w:rPr>
              <w:t xml:space="preserve"> (China)</w:t>
            </w:r>
          </w:p>
          <w:p w14:paraId="49B62882" w14:textId="77777777" w:rsidR="005B32CB" w:rsidRDefault="005B32CB" w:rsidP="00907AD2">
            <w:pPr>
              <w:pStyle w:val="NoSpacing"/>
              <w:rPr>
                <w:rFonts w:ascii="Times New Roman" w:hAnsi="Times New Roman"/>
                <w:sz w:val="24"/>
                <w:szCs w:val="24"/>
              </w:rPr>
            </w:pPr>
            <w:proofErr w:type="spellStart"/>
            <w:r>
              <w:rPr>
                <w:rFonts w:ascii="Times New Roman" w:hAnsi="Times New Roman"/>
                <w:sz w:val="24"/>
                <w:szCs w:val="24"/>
              </w:rPr>
              <w:t>Modelo</w:t>
            </w:r>
            <w:proofErr w:type="spellEnd"/>
            <w:r>
              <w:rPr>
                <w:rFonts w:ascii="Times New Roman" w:hAnsi="Times New Roman"/>
                <w:sz w:val="24"/>
                <w:szCs w:val="24"/>
              </w:rPr>
              <w:t xml:space="preserve"> (Mexico)</w:t>
            </w:r>
          </w:p>
          <w:p w14:paraId="6C3CE3CF"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Moison Coors (US)</w:t>
            </w:r>
          </w:p>
          <w:p w14:paraId="76FC5B35"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Beijing Yanjing (China)</w:t>
            </w:r>
          </w:p>
          <w:p w14:paraId="4A43E662" w14:textId="77777777" w:rsidR="005B32CB" w:rsidRDefault="005B32CB" w:rsidP="00907AD2">
            <w:pPr>
              <w:pStyle w:val="NoSpacing"/>
              <w:rPr>
                <w:rFonts w:ascii="Times New Roman" w:hAnsi="Times New Roman"/>
                <w:sz w:val="24"/>
                <w:szCs w:val="24"/>
              </w:rPr>
            </w:pPr>
            <w:r>
              <w:rPr>
                <w:rFonts w:ascii="Times New Roman" w:hAnsi="Times New Roman"/>
                <w:sz w:val="24"/>
                <w:szCs w:val="24"/>
              </w:rPr>
              <w:t>FEMSA (Mexico)</w:t>
            </w:r>
          </w:p>
        </w:tc>
        <w:tc>
          <w:tcPr>
            <w:tcW w:w="2717" w:type="dxa"/>
          </w:tcPr>
          <w:p w14:paraId="29EA0742"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Share global volume %</w:t>
            </w:r>
          </w:p>
          <w:p w14:paraId="122537A9"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19.5</w:t>
            </w:r>
          </w:p>
          <w:p w14:paraId="38D50937"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9.5</w:t>
            </w:r>
          </w:p>
          <w:p w14:paraId="5FCF4D02"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6.9</w:t>
            </w:r>
          </w:p>
          <w:p w14:paraId="2ECA3140"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5.9</w:t>
            </w:r>
          </w:p>
          <w:p w14:paraId="1DD030D4"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4.5</w:t>
            </w:r>
          </w:p>
          <w:p w14:paraId="56EE00EB"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3.1</w:t>
            </w:r>
          </w:p>
          <w:p w14:paraId="03A6114A"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2.9</w:t>
            </w:r>
          </w:p>
          <w:p w14:paraId="14F1F62A"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2.8</w:t>
            </w:r>
          </w:p>
          <w:p w14:paraId="217D582A"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2.5</w:t>
            </w:r>
          </w:p>
          <w:p w14:paraId="60AC11DB" w14:textId="77777777" w:rsidR="005B32CB" w:rsidRDefault="005B32CB" w:rsidP="00907AD2">
            <w:pPr>
              <w:pStyle w:val="NoSpacing"/>
              <w:jc w:val="center"/>
              <w:rPr>
                <w:rFonts w:ascii="Times New Roman" w:hAnsi="Times New Roman"/>
                <w:sz w:val="24"/>
                <w:szCs w:val="24"/>
              </w:rPr>
            </w:pPr>
            <w:r>
              <w:rPr>
                <w:rFonts w:ascii="Times New Roman" w:hAnsi="Times New Roman"/>
                <w:sz w:val="24"/>
                <w:szCs w:val="24"/>
              </w:rPr>
              <w:t>2.3</w:t>
            </w:r>
          </w:p>
        </w:tc>
      </w:tr>
    </w:tbl>
    <w:p w14:paraId="63D7CEE7" w14:textId="77777777" w:rsidR="005B32CB" w:rsidRDefault="005B32CB" w:rsidP="005B32CB">
      <w:pPr>
        <w:pStyle w:val="NoSpacing"/>
        <w:rPr>
          <w:rFonts w:ascii="Times New Roman" w:hAnsi="Times New Roman"/>
          <w:sz w:val="24"/>
          <w:szCs w:val="24"/>
        </w:rPr>
      </w:pPr>
    </w:p>
    <w:p w14:paraId="692956AC"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Three Brewing Companies</w:t>
      </w:r>
    </w:p>
    <w:p w14:paraId="71EEEDC2"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The European market contains many very different kinds of competitor: this section introduces the world’s largest brewer and two outliers.</w:t>
      </w:r>
    </w:p>
    <w:p w14:paraId="76240D2E"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Anhesuer</w:t>
      </w:r>
      <w:proofErr w:type="spellEnd"/>
      <w:r>
        <w:rPr>
          <w:rFonts w:ascii="Times New Roman" w:hAnsi="Times New Roman"/>
          <w:sz w:val="24"/>
          <w:szCs w:val="24"/>
        </w:rPr>
        <w:t>-Busch InBev (Belgium)</w:t>
      </w:r>
    </w:p>
    <w:p w14:paraId="601A9884"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A-B InBev has roots going back to </w:t>
      </w:r>
      <w:proofErr w:type="gramStart"/>
      <w:r>
        <w:rPr>
          <w:rFonts w:ascii="Times New Roman" w:hAnsi="Times New Roman"/>
          <w:sz w:val="24"/>
          <w:szCs w:val="24"/>
        </w:rPr>
        <w:t>1366, but</w:t>
      </w:r>
      <w:proofErr w:type="gramEnd"/>
      <w:r>
        <w:rPr>
          <w:rFonts w:ascii="Times New Roman" w:hAnsi="Times New Roman"/>
          <w:sz w:val="24"/>
          <w:szCs w:val="24"/>
        </w:rPr>
        <w:t xml:space="preserve"> has transformed itself in the last decade with a series of spectacular mergers.  First, InBev was created in 2004 from the merger of Belgian </w:t>
      </w:r>
      <w:proofErr w:type="spellStart"/>
      <w:r>
        <w:rPr>
          <w:rFonts w:ascii="Times New Roman" w:hAnsi="Times New Roman"/>
          <w:sz w:val="24"/>
          <w:szCs w:val="24"/>
        </w:rPr>
        <w:t>InterBrev</w:t>
      </w:r>
      <w:proofErr w:type="spellEnd"/>
      <w:r>
        <w:rPr>
          <w:rFonts w:ascii="Times New Roman" w:hAnsi="Times New Roman"/>
          <w:sz w:val="24"/>
          <w:szCs w:val="24"/>
        </w:rPr>
        <w:t xml:space="preserve"> and Brazilian </w:t>
      </w:r>
      <w:proofErr w:type="spellStart"/>
      <w:r>
        <w:rPr>
          <w:rFonts w:ascii="Times New Roman" w:hAnsi="Times New Roman"/>
          <w:sz w:val="24"/>
          <w:szCs w:val="24"/>
        </w:rPr>
        <w:t>AmBev</w:t>
      </w:r>
      <w:proofErr w:type="spellEnd"/>
      <w:r>
        <w:rPr>
          <w:rFonts w:ascii="Times New Roman" w:hAnsi="Times New Roman"/>
          <w:sz w:val="24"/>
          <w:szCs w:val="24"/>
        </w:rPr>
        <w:t xml:space="preserve">.  As well as making it the second largest brewing company in the world, this merger gave it a significant position in the Latin American soft drinks market.   Then in 2008 InBev acquired the leading American brewer Anheuser-Busch for $52bn, making the company indisputably the world leader.   The company now has nearly 300 brands, led by such well-known international beers as Beck’s, </w:t>
      </w:r>
      <w:proofErr w:type="gramStart"/>
      <w:r>
        <w:rPr>
          <w:rFonts w:ascii="Times New Roman" w:hAnsi="Times New Roman"/>
          <w:sz w:val="24"/>
          <w:szCs w:val="24"/>
        </w:rPr>
        <w:t>Budweiser</w:t>
      </w:r>
      <w:proofErr w:type="gramEnd"/>
      <w:r>
        <w:rPr>
          <w:rFonts w:ascii="Times New Roman" w:hAnsi="Times New Roman"/>
          <w:sz w:val="24"/>
          <w:szCs w:val="24"/>
        </w:rPr>
        <w:t xml:space="preserve"> and Stella Artois.  The company has nearly 50% share of the US market, and owns 50% of Mexico’s leading brewer, </w:t>
      </w:r>
      <w:proofErr w:type="spellStart"/>
      <w:r>
        <w:rPr>
          <w:rFonts w:ascii="Times New Roman" w:hAnsi="Times New Roman"/>
          <w:sz w:val="24"/>
          <w:szCs w:val="24"/>
        </w:rPr>
        <w:t>Modelo</w:t>
      </w:r>
      <w:proofErr w:type="spellEnd"/>
      <w:r>
        <w:rPr>
          <w:rFonts w:ascii="Times New Roman" w:hAnsi="Times New Roman"/>
          <w:sz w:val="24"/>
          <w:szCs w:val="24"/>
        </w:rPr>
        <w:t xml:space="preserve">, famous for its global Corona brand.   In 2008, the new A-N InBev had four of the top ten selling beers in the world, and a number one or number two position in over 20 national markets.   However, the company has been reducing its stake in the Chinese market </w:t>
      </w:r>
      <w:proofErr w:type="gramStart"/>
      <w:r>
        <w:rPr>
          <w:rFonts w:ascii="Times New Roman" w:hAnsi="Times New Roman"/>
          <w:sz w:val="24"/>
          <w:szCs w:val="24"/>
        </w:rPr>
        <w:t>in order to</w:t>
      </w:r>
      <w:proofErr w:type="gramEnd"/>
      <w:r>
        <w:rPr>
          <w:rFonts w:ascii="Times New Roman" w:hAnsi="Times New Roman"/>
          <w:sz w:val="24"/>
          <w:szCs w:val="24"/>
        </w:rPr>
        <w:t xml:space="preserve"> raise funds to pay for the Anheuser-Busch acquisition and to meet local monopoly authority concerns.  It also sold its Central and Eastern beer operations in 2009.   </w:t>
      </w:r>
    </w:p>
    <w:p w14:paraId="7759F510"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The company is frank about its strategy: to transform itself from the biggest brewing company in the world to the best.    It aims to do this by building strong global brands and increasing efficiency.   Efficiency gains will come from more central coordination of </w:t>
      </w:r>
      <w:r>
        <w:rPr>
          <w:rFonts w:ascii="Times New Roman" w:hAnsi="Times New Roman"/>
          <w:sz w:val="24"/>
          <w:szCs w:val="24"/>
        </w:rPr>
        <w:lastRenderedPageBreak/>
        <w:t xml:space="preserve">purchasing, including media and IT; from the optimisation of its inherited network of breweries; and form the sharing of best practice across sites internationally.  A-B InBev is now emphasising organic growth and improved margins from its existing business.  Its declared intention is </w:t>
      </w:r>
      <w:proofErr w:type="gramStart"/>
      <w:r>
        <w:rPr>
          <w:rFonts w:ascii="Times New Roman" w:hAnsi="Times New Roman"/>
          <w:sz w:val="24"/>
          <w:szCs w:val="24"/>
        </w:rPr>
        <w:t>to  be</w:t>
      </w:r>
      <w:proofErr w:type="gramEnd"/>
      <w:r>
        <w:rPr>
          <w:rFonts w:ascii="Times New Roman" w:hAnsi="Times New Roman"/>
          <w:sz w:val="24"/>
          <w:szCs w:val="24"/>
        </w:rPr>
        <w:t xml:space="preserve"> ‘The Best Beer Company in the Better World”.</w:t>
      </w:r>
    </w:p>
    <w:p w14:paraId="511B6358"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2. Greene King (United Kingdom)</w:t>
      </w:r>
    </w:p>
    <w:p w14:paraId="22BEFC9D"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Established in 1799, Greene King is now the largest domestic British brewer, owner of </w:t>
      </w:r>
      <w:proofErr w:type="spellStart"/>
      <w:r>
        <w:rPr>
          <w:rFonts w:ascii="Times New Roman" w:hAnsi="Times New Roman"/>
          <w:sz w:val="24"/>
          <w:szCs w:val="24"/>
        </w:rPr>
        <w:t>famour</w:t>
      </w:r>
      <w:proofErr w:type="spellEnd"/>
      <w:r>
        <w:rPr>
          <w:rFonts w:ascii="Times New Roman" w:hAnsi="Times New Roman"/>
          <w:sz w:val="24"/>
          <w:szCs w:val="24"/>
        </w:rPr>
        <w:t xml:space="preserve">\s brands such as Abbot, </w:t>
      </w:r>
      <w:proofErr w:type="gramStart"/>
      <w:r>
        <w:rPr>
          <w:rFonts w:ascii="Times New Roman" w:hAnsi="Times New Roman"/>
          <w:sz w:val="24"/>
          <w:szCs w:val="24"/>
        </w:rPr>
        <w:t>IPA</w:t>
      </w:r>
      <w:proofErr w:type="gramEnd"/>
      <w:r>
        <w:rPr>
          <w:rFonts w:ascii="Times New Roman" w:hAnsi="Times New Roman"/>
          <w:sz w:val="24"/>
          <w:szCs w:val="24"/>
        </w:rPr>
        <w:t xml:space="preserve"> and Old Speckled Hen.   It has expanded through a series of acquisitions including Ruddles (1995), Morland (1999) and Hardys </w:t>
      </w:r>
      <w:proofErr w:type="gramStart"/>
      <w:r>
        <w:rPr>
          <w:rFonts w:ascii="Times New Roman" w:hAnsi="Times New Roman"/>
          <w:sz w:val="24"/>
          <w:szCs w:val="24"/>
        </w:rPr>
        <w:t>and  Hansons</w:t>
      </w:r>
      <w:proofErr w:type="gramEnd"/>
      <w:r>
        <w:rPr>
          <w:rFonts w:ascii="Times New Roman" w:hAnsi="Times New Roman"/>
          <w:sz w:val="24"/>
          <w:szCs w:val="24"/>
        </w:rPr>
        <w:t xml:space="preserve"> (2006).  </w:t>
      </w:r>
    </w:p>
    <w:p w14:paraId="13EDDE1E"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Acquisition is typically followed by the closure of the acquired </w:t>
      </w:r>
      <w:proofErr w:type="gramStart"/>
      <w:r>
        <w:rPr>
          <w:rFonts w:ascii="Times New Roman" w:hAnsi="Times New Roman"/>
          <w:sz w:val="24"/>
          <w:szCs w:val="24"/>
        </w:rPr>
        <w:t>brewery,  the</w:t>
      </w:r>
      <w:proofErr w:type="gramEnd"/>
      <w:r>
        <w:rPr>
          <w:rFonts w:ascii="Times New Roman" w:hAnsi="Times New Roman"/>
          <w:sz w:val="24"/>
          <w:szCs w:val="24"/>
        </w:rPr>
        <w:t xml:space="preserve"> termination of minor brands and  the transfer of major  brand production to its main brewery in Bury St. Edmunds.   This strategy has led to critics calling the company “Greedy King”.  IPA is the UK’s top cask ale, with over 20% of the on-trade market and Old Speckled Hen is the top premium UK ale with more than one eighth of the multiple retailer market.  Greene King is unusual amongst contemporary breweries in operating many of its own pubs, having added to its original chain several acquisitions (notably Laurels with 432 pubs and Belhaven with 271).   Greene King now operates nearly 2000 pubs across the United Kingdom with a </w:t>
      </w:r>
      <w:proofErr w:type="spellStart"/>
      <w:r>
        <w:rPr>
          <w:rFonts w:ascii="Times New Roman" w:hAnsi="Times New Roman"/>
          <w:sz w:val="24"/>
          <w:szCs w:val="24"/>
        </w:rPr>
        <w:t>particulary</w:t>
      </w:r>
      <w:proofErr w:type="spellEnd"/>
      <w:r>
        <w:rPr>
          <w:rFonts w:ascii="Times New Roman" w:hAnsi="Times New Roman"/>
          <w:sz w:val="24"/>
          <w:szCs w:val="24"/>
        </w:rPr>
        <w:t xml:space="preserve"> dominant position in its home region of East Anglia.  The company is also active in restaurants. Business is effectively confined to the UK market.  In 2009, Greene King raised ₤207 </w:t>
      </w:r>
      <w:proofErr w:type="gramStart"/>
      <w:r>
        <w:rPr>
          <w:rFonts w:ascii="Times New Roman" w:hAnsi="Times New Roman"/>
          <w:sz w:val="24"/>
          <w:szCs w:val="24"/>
        </w:rPr>
        <w:t>million  on</w:t>
      </w:r>
      <w:proofErr w:type="gramEnd"/>
      <w:r>
        <w:rPr>
          <w:rFonts w:ascii="Times New Roman" w:hAnsi="Times New Roman"/>
          <w:sz w:val="24"/>
          <w:szCs w:val="24"/>
        </w:rPr>
        <w:t xml:space="preserve"> the financial markets in order to fund  further acquisitions .  Greene King explains its success formula in brewing </w:t>
      </w:r>
      <w:proofErr w:type="gramStart"/>
      <w:r>
        <w:rPr>
          <w:rFonts w:ascii="Times New Roman" w:hAnsi="Times New Roman"/>
          <w:sz w:val="24"/>
          <w:szCs w:val="24"/>
        </w:rPr>
        <w:t>thus :</w:t>
      </w:r>
      <w:proofErr w:type="gramEnd"/>
      <w:r>
        <w:rPr>
          <w:rFonts w:ascii="Times New Roman" w:hAnsi="Times New Roman"/>
          <w:sz w:val="24"/>
          <w:szCs w:val="24"/>
        </w:rPr>
        <w:t xml:space="preserve">  “The Brewing Company’s continued out-performance is driven by a consistent, focused strategy : most importantly, we brew high quality beer from an efficient, single-site brewery; (and) we have a focused brand portfolio, minimising the complexity and cost of a </w:t>
      </w:r>
      <w:proofErr w:type="spellStart"/>
      <w:r>
        <w:rPr>
          <w:rFonts w:ascii="Times New Roman" w:hAnsi="Times New Roman"/>
          <w:sz w:val="24"/>
          <w:szCs w:val="24"/>
        </w:rPr>
        <w:t>multibrand</w:t>
      </w:r>
      <w:proofErr w:type="spellEnd"/>
      <w:r>
        <w:rPr>
          <w:rFonts w:ascii="Times New Roman" w:hAnsi="Times New Roman"/>
          <w:sz w:val="24"/>
          <w:szCs w:val="24"/>
        </w:rPr>
        <w:t xml:space="preserve"> strategy.”</w:t>
      </w:r>
    </w:p>
    <w:p w14:paraId="276ED887" w14:textId="77777777" w:rsidR="005B32CB" w:rsidRDefault="005B32CB" w:rsidP="005B32CB">
      <w:pPr>
        <w:pStyle w:val="NoSpacing"/>
        <w:rPr>
          <w:rFonts w:ascii="Times New Roman" w:hAnsi="Times New Roman"/>
          <w:sz w:val="24"/>
          <w:szCs w:val="24"/>
        </w:rPr>
      </w:pPr>
    </w:p>
    <w:p w14:paraId="62756C49"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3. Tsingtao (China)</w:t>
      </w:r>
    </w:p>
    <w:p w14:paraId="4DC82408"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 xml:space="preserve">Tsingtao Brewery was founded in 1903 by German settlers in China.  After state ownership under Communism, Tsingtao was privatised in the 1990s and listed on the Hong Kong Stock Exchange in 1993.  In </w:t>
      </w:r>
      <w:proofErr w:type="gramStart"/>
      <w:r>
        <w:rPr>
          <w:rFonts w:ascii="Times New Roman" w:hAnsi="Times New Roman"/>
          <w:sz w:val="24"/>
          <w:szCs w:val="24"/>
        </w:rPr>
        <w:t>2009,  the</w:t>
      </w:r>
      <w:proofErr w:type="gramEnd"/>
      <w:r>
        <w:rPr>
          <w:rFonts w:ascii="Times New Roman" w:hAnsi="Times New Roman"/>
          <w:sz w:val="24"/>
          <w:szCs w:val="24"/>
        </w:rPr>
        <w:t xml:space="preserve"> Japanese Asahi Breweries held 19.9% of the shares, purchased from A-B </w:t>
      </w:r>
      <w:proofErr w:type="spellStart"/>
      <w:r>
        <w:rPr>
          <w:rFonts w:ascii="Times New Roman" w:hAnsi="Times New Roman"/>
          <w:sz w:val="24"/>
          <w:szCs w:val="24"/>
        </w:rPr>
        <w:t>Inbev</w:t>
      </w:r>
      <w:proofErr w:type="spellEnd"/>
      <w:r>
        <w:rPr>
          <w:rFonts w:ascii="Times New Roman" w:hAnsi="Times New Roman"/>
          <w:sz w:val="24"/>
          <w:szCs w:val="24"/>
        </w:rPr>
        <w:t xml:space="preserve"> (which also sold the remainder of its  original stake - 7% - to a Chinese private investor).   Tsingtao has 13% market share of its home market but has long had an export orientation, accounting for more than 50% of China’s beer exports.   Tsingtao Beer was introduced to the United States in 1972 and is the Chinese brand-leader in the US market.  A bottle of Tsingtao appeared in the 1982 science fiction film Blade Runner.   Tsingtao set up its European office in 1992 and its beer is now sold in 62 countries.  The company has described its ambition thus: “to promote the continuous growth of the sales volume and income to step forward the target of becoming an international great company.”</w:t>
      </w:r>
    </w:p>
    <w:p w14:paraId="121B15E2" w14:textId="77777777" w:rsidR="005B32CB" w:rsidRDefault="005B32CB" w:rsidP="005B32CB">
      <w:pPr>
        <w:pStyle w:val="NoSpacing"/>
        <w:rPr>
          <w:rFonts w:ascii="Times New Roman" w:hAnsi="Times New Roman"/>
          <w:sz w:val="24"/>
          <w:szCs w:val="24"/>
        </w:rPr>
      </w:pPr>
    </w:p>
    <w:p w14:paraId="342343D0"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Questions</w:t>
      </w:r>
    </w:p>
    <w:p w14:paraId="47ED4BB1" w14:textId="77777777" w:rsidR="005B32CB" w:rsidRDefault="005B32CB" w:rsidP="005B32CB">
      <w:pPr>
        <w:pStyle w:val="NoSpacing"/>
        <w:numPr>
          <w:ilvl w:val="0"/>
          <w:numId w:val="2"/>
        </w:numPr>
        <w:ind w:left="284" w:hanging="284"/>
        <w:rPr>
          <w:rFonts w:ascii="Times New Roman" w:hAnsi="Times New Roman"/>
          <w:sz w:val="24"/>
          <w:szCs w:val="24"/>
        </w:rPr>
      </w:pPr>
      <w:r>
        <w:rPr>
          <w:rFonts w:ascii="Times New Roman" w:hAnsi="Times New Roman"/>
          <w:sz w:val="24"/>
          <w:szCs w:val="24"/>
        </w:rPr>
        <w:t xml:space="preserve">Using the data from the </w:t>
      </w:r>
      <w:proofErr w:type="gramStart"/>
      <w:r>
        <w:rPr>
          <w:rFonts w:ascii="Times New Roman" w:hAnsi="Times New Roman"/>
          <w:sz w:val="24"/>
          <w:szCs w:val="24"/>
        </w:rPr>
        <w:t>case  (</w:t>
      </w:r>
      <w:proofErr w:type="gramEnd"/>
      <w:r>
        <w:rPr>
          <w:rFonts w:ascii="Times New Roman" w:hAnsi="Times New Roman"/>
          <w:sz w:val="24"/>
          <w:szCs w:val="24"/>
        </w:rPr>
        <w:t xml:space="preserve">and any other sources available), carry out for the </w:t>
      </w:r>
      <w:r>
        <w:rPr>
          <w:rFonts w:ascii="Times New Roman" w:hAnsi="Times New Roman"/>
          <w:sz w:val="24"/>
          <w:szCs w:val="24"/>
        </w:rPr>
        <w:br/>
        <w:t>Western European brewing industry (</w:t>
      </w:r>
      <w:proofErr w:type="spellStart"/>
      <w:r>
        <w:rPr>
          <w:rFonts w:ascii="Times New Roman" w:hAnsi="Times New Roman"/>
          <w:sz w:val="24"/>
          <w:szCs w:val="24"/>
        </w:rPr>
        <w:t>i</w:t>
      </w:r>
      <w:proofErr w:type="spellEnd"/>
      <w:r>
        <w:rPr>
          <w:rFonts w:ascii="Times New Roman" w:hAnsi="Times New Roman"/>
          <w:sz w:val="24"/>
          <w:szCs w:val="24"/>
        </w:rPr>
        <w:t>) a PESTEL analysis and (ii) a five forces analysis.  What do you conclude?</w:t>
      </w:r>
    </w:p>
    <w:p w14:paraId="757DA9ED" w14:textId="77777777" w:rsidR="005B32CB" w:rsidRDefault="005B32CB" w:rsidP="005B32CB">
      <w:pPr>
        <w:pStyle w:val="NoSpacing"/>
        <w:numPr>
          <w:ilvl w:val="0"/>
          <w:numId w:val="2"/>
        </w:numPr>
        <w:ind w:left="284" w:hanging="284"/>
        <w:rPr>
          <w:rFonts w:ascii="Times New Roman" w:hAnsi="Times New Roman"/>
          <w:sz w:val="24"/>
          <w:szCs w:val="24"/>
        </w:rPr>
      </w:pPr>
      <w:r>
        <w:rPr>
          <w:rFonts w:ascii="Times New Roman" w:hAnsi="Times New Roman"/>
          <w:sz w:val="24"/>
          <w:szCs w:val="24"/>
        </w:rPr>
        <w:t>For the three breweries outlined above (or breweries of your own choice) explain:</w:t>
      </w:r>
    </w:p>
    <w:p w14:paraId="70ECE720" w14:textId="77777777" w:rsidR="005B32CB" w:rsidRDefault="005B32CB" w:rsidP="005B32CB">
      <w:pPr>
        <w:pStyle w:val="NoSpacing"/>
        <w:ind w:left="284"/>
        <w:rPr>
          <w:rFonts w:ascii="Times New Roman" w:hAnsi="Times New Roman"/>
          <w:sz w:val="24"/>
          <w:szCs w:val="24"/>
        </w:rPr>
      </w:pPr>
      <w:r>
        <w:rPr>
          <w:rFonts w:ascii="Times New Roman" w:hAnsi="Times New Roman"/>
          <w:sz w:val="24"/>
          <w:szCs w:val="24"/>
        </w:rPr>
        <w:t xml:space="preserve">(a)  how these trends will impact differently on these different companies, and </w:t>
      </w:r>
    </w:p>
    <w:p w14:paraId="4B6BA48B" w14:textId="77777777" w:rsidR="005B32CB" w:rsidRDefault="005B32CB" w:rsidP="005B32CB">
      <w:pPr>
        <w:pStyle w:val="NoSpacing"/>
        <w:ind w:left="284"/>
        <w:rPr>
          <w:rFonts w:ascii="Times New Roman" w:hAnsi="Times New Roman"/>
          <w:sz w:val="24"/>
          <w:szCs w:val="24"/>
        </w:rPr>
      </w:pPr>
      <w:r>
        <w:rPr>
          <w:rFonts w:ascii="Times New Roman" w:hAnsi="Times New Roman"/>
          <w:sz w:val="24"/>
          <w:szCs w:val="24"/>
        </w:rPr>
        <w:t>(b)  the relative strengths and weaknesses of each company.</w:t>
      </w:r>
    </w:p>
    <w:p w14:paraId="7B945451" w14:textId="77777777" w:rsidR="005B32CB" w:rsidRDefault="005B32CB" w:rsidP="005B32CB">
      <w:pPr>
        <w:pStyle w:val="NoSpacing"/>
        <w:rPr>
          <w:rFonts w:ascii="Times New Roman" w:hAnsi="Times New Roman"/>
          <w:sz w:val="24"/>
          <w:szCs w:val="24"/>
        </w:rPr>
      </w:pPr>
    </w:p>
    <w:p w14:paraId="04738FE1" w14:textId="77777777" w:rsidR="005B32CB" w:rsidRDefault="005B32CB" w:rsidP="005B32CB">
      <w:pPr>
        <w:pStyle w:val="NoSpacing"/>
        <w:rPr>
          <w:rFonts w:ascii="Times New Roman" w:hAnsi="Times New Roman"/>
          <w:sz w:val="24"/>
          <w:szCs w:val="24"/>
        </w:rPr>
      </w:pPr>
    </w:p>
    <w:p w14:paraId="6063664E" w14:textId="77777777" w:rsidR="005B32CB" w:rsidRDefault="005B32CB" w:rsidP="005B32CB">
      <w:pPr>
        <w:pStyle w:val="NoSpacing"/>
        <w:rPr>
          <w:rFonts w:ascii="Times New Roman" w:hAnsi="Times New Roman"/>
          <w:sz w:val="24"/>
          <w:szCs w:val="24"/>
        </w:rPr>
      </w:pPr>
      <w:r>
        <w:rPr>
          <w:rFonts w:ascii="Times New Roman" w:hAnsi="Times New Roman"/>
          <w:sz w:val="24"/>
          <w:szCs w:val="24"/>
        </w:rPr>
        <w:t>Instructions</w:t>
      </w:r>
    </w:p>
    <w:p w14:paraId="6058A7AF" w14:textId="77777777" w:rsidR="005B32CB" w:rsidRDefault="005B32CB" w:rsidP="005B32CB">
      <w:pPr>
        <w:pStyle w:val="NoSpacing"/>
        <w:numPr>
          <w:ilvl w:val="0"/>
          <w:numId w:val="3"/>
        </w:numPr>
        <w:ind w:left="284" w:hanging="284"/>
        <w:rPr>
          <w:rFonts w:ascii="Times New Roman" w:hAnsi="Times New Roman"/>
          <w:sz w:val="24"/>
          <w:szCs w:val="24"/>
        </w:rPr>
      </w:pPr>
      <w:r>
        <w:rPr>
          <w:rFonts w:ascii="Times New Roman" w:hAnsi="Times New Roman"/>
          <w:sz w:val="24"/>
          <w:szCs w:val="24"/>
        </w:rPr>
        <w:t>Ensure you have the cover page for the individual assignment attached to your report.</w:t>
      </w:r>
    </w:p>
    <w:p w14:paraId="4425CD40" w14:textId="77777777" w:rsidR="005B32CB" w:rsidRDefault="005B32CB" w:rsidP="005B32CB">
      <w:pPr>
        <w:pStyle w:val="NoSpacing"/>
        <w:numPr>
          <w:ilvl w:val="0"/>
          <w:numId w:val="3"/>
        </w:numPr>
        <w:ind w:left="284" w:hanging="284"/>
        <w:rPr>
          <w:rFonts w:ascii="Times New Roman" w:hAnsi="Times New Roman"/>
          <w:sz w:val="24"/>
          <w:szCs w:val="24"/>
        </w:rPr>
      </w:pPr>
      <w:r>
        <w:rPr>
          <w:rFonts w:ascii="Times New Roman" w:hAnsi="Times New Roman"/>
          <w:sz w:val="24"/>
          <w:szCs w:val="24"/>
        </w:rPr>
        <w:t xml:space="preserve">Use front </w:t>
      </w:r>
      <w:proofErr w:type="spellStart"/>
      <w:r>
        <w:rPr>
          <w:rFonts w:ascii="Times New Roman" w:hAnsi="Times New Roman"/>
          <w:sz w:val="24"/>
          <w:szCs w:val="24"/>
        </w:rPr>
        <w:t>sixe</w:t>
      </w:r>
      <w:proofErr w:type="spellEnd"/>
      <w:r>
        <w:rPr>
          <w:rFonts w:ascii="Times New Roman" w:hAnsi="Times New Roman"/>
          <w:sz w:val="24"/>
          <w:szCs w:val="24"/>
        </w:rPr>
        <w:t xml:space="preserve"> 12 and the line spacing 1.5.</w:t>
      </w:r>
    </w:p>
    <w:p w14:paraId="793FE092" w14:textId="77777777" w:rsidR="005B32CB" w:rsidRDefault="005B32CB" w:rsidP="005B32CB">
      <w:pPr>
        <w:pStyle w:val="NoSpacing"/>
        <w:numPr>
          <w:ilvl w:val="0"/>
          <w:numId w:val="3"/>
        </w:numPr>
        <w:ind w:left="284" w:hanging="284"/>
        <w:rPr>
          <w:rFonts w:ascii="Times New Roman" w:hAnsi="Times New Roman"/>
          <w:sz w:val="24"/>
          <w:szCs w:val="24"/>
        </w:rPr>
      </w:pPr>
      <w:r>
        <w:rPr>
          <w:rFonts w:ascii="Times New Roman" w:hAnsi="Times New Roman"/>
          <w:sz w:val="24"/>
          <w:szCs w:val="24"/>
        </w:rPr>
        <w:lastRenderedPageBreak/>
        <w:t xml:space="preserve">The report must be submitted in the </w:t>
      </w:r>
      <w:r>
        <w:rPr>
          <w:rFonts w:ascii="Times New Roman" w:hAnsi="Times New Roman"/>
          <w:b/>
          <w:sz w:val="24"/>
          <w:szCs w:val="24"/>
        </w:rPr>
        <w:t>2nd</w:t>
      </w:r>
      <w:r w:rsidRPr="00433292">
        <w:rPr>
          <w:rFonts w:ascii="Times New Roman" w:hAnsi="Times New Roman"/>
          <w:b/>
          <w:sz w:val="24"/>
          <w:szCs w:val="24"/>
        </w:rPr>
        <w:t xml:space="preserve"> week.</w:t>
      </w:r>
    </w:p>
    <w:p w14:paraId="22973674" w14:textId="77777777" w:rsidR="005B32CB" w:rsidRDefault="005B32CB" w:rsidP="005B32CB">
      <w:pPr>
        <w:pStyle w:val="NoSpacing"/>
        <w:numPr>
          <w:ilvl w:val="0"/>
          <w:numId w:val="3"/>
        </w:numPr>
        <w:ind w:left="284" w:hanging="284"/>
        <w:rPr>
          <w:rFonts w:ascii="Times New Roman" w:hAnsi="Times New Roman"/>
          <w:sz w:val="24"/>
          <w:szCs w:val="24"/>
        </w:rPr>
      </w:pPr>
      <w:r>
        <w:rPr>
          <w:rFonts w:ascii="Times New Roman" w:hAnsi="Times New Roman"/>
          <w:sz w:val="24"/>
          <w:szCs w:val="24"/>
        </w:rPr>
        <w:t xml:space="preserve">Any delay in the submission of the report, marks will be deducted at the rated of 10% per day. </w:t>
      </w:r>
    </w:p>
    <w:p w14:paraId="1E10CBE5" w14:textId="77777777" w:rsidR="005B32CB" w:rsidRPr="00423B74" w:rsidRDefault="005B32CB" w:rsidP="005B32CB">
      <w:pPr>
        <w:pStyle w:val="NoSpacing"/>
        <w:numPr>
          <w:ilvl w:val="0"/>
          <w:numId w:val="3"/>
        </w:numPr>
        <w:ind w:left="284" w:hanging="284"/>
        <w:rPr>
          <w:rFonts w:ascii="Times New Roman" w:hAnsi="Times New Roman"/>
          <w:sz w:val="24"/>
          <w:szCs w:val="24"/>
        </w:rPr>
      </w:pPr>
      <w:r>
        <w:rPr>
          <w:rFonts w:ascii="Times New Roman" w:hAnsi="Times New Roman"/>
          <w:sz w:val="24"/>
          <w:szCs w:val="24"/>
        </w:rPr>
        <w:t xml:space="preserve">Plagiarism, if detected will lead to an immediate “fail </w:t>
      </w:r>
      <w:proofErr w:type="gramStart"/>
      <w:r>
        <w:rPr>
          <w:rFonts w:ascii="Times New Roman" w:hAnsi="Times New Roman"/>
          <w:sz w:val="24"/>
          <w:szCs w:val="24"/>
        </w:rPr>
        <w:t>grade”</w:t>
      </w:r>
      <w:proofErr w:type="gramEnd"/>
    </w:p>
    <w:p w14:paraId="056ADC2C" w14:textId="77777777" w:rsidR="005B32CB" w:rsidRDefault="005B32CB" w:rsidP="005B32CB">
      <w:pPr>
        <w:rPr>
          <w:rFonts w:ascii="Times New Roman" w:hAnsi="Times New Roman"/>
          <w:sz w:val="24"/>
          <w:szCs w:val="24"/>
        </w:rPr>
      </w:pPr>
    </w:p>
    <w:p w14:paraId="6F8D3E80" w14:textId="77777777" w:rsidR="005B32CB" w:rsidRPr="004F139A" w:rsidRDefault="005B32CB" w:rsidP="005B32CB">
      <w:pPr>
        <w:rPr>
          <w:rFonts w:ascii="Times New Roman" w:hAnsi="Times New Roman"/>
          <w:b/>
          <w:sz w:val="24"/>
          <w:szCs w:val="24"/>
        </w:rPr>
      </w:pPr>
      <w:r w:rsidRPr="004F139A">
        <w:rPr>
          <w:rFonts w:ascii="Times New Roman" w:hAnsi="Times New Roman"/>
          <w:sz w:val="24"/>
          <w:szCs w:val="24"/>
        </w:rPr>
        <w:t xml:space="preserve">                                                               </w:t>
      </w:r>
      <w:r w:rsidRPr="004F139A">
        <w:rPr>
          <w:rFonts w:ascii="Times New Roman" w:hAnsi="Times New Roman"/>
          <w:b/>
          <w:sz w:val="24"/>
          <w:szCs w:val="24"/>
        </w:rPr>
        <w:t>Marking Sheet</w:t>
      </w:r>
    </w:p>
    <w:p w14:paraId="18A3AF63" w14:textId="77777777" w:rsidR="005B32CB" w:rsidRPr="004F139A" w:rsidRDefault="005B32CB" w:rsidP="005B32CB">
      <w:pPr>
        <w:rPr>
          <w:rFonts w:ascii="Times New Roman" w:hAnsi="Times New Roman"/>
          <w:sz w:val="24"/>
          <w:szCs w:val="24"/>
        </w:rPr>
      </w:pPr>
      <w:r w:rsidRPr="004F139A">
        <w:rPr>
          <w:rFonts w:ascii="Times New Roman" w:hAnsi="Times New Roman"/>
          <w:sz w:val="24"/>
          <w:szCs w:val="24"/>
        </w:rPr>
        <w:t xml:space="preserve">Student Name: ........................................    Student Number:  .......................................                                                                                       </w:t>
      </w:r>
    </w:p>
    <w:p w14:paraId="5A8C183E" w14:textId="77777777" w:rsidR="005B32CB" w:rsidRPr="004F139A" w:rsidRDefault="005B32CB" w:rsidP="005B32CB">
      <w:pPr>
        <w:rPr>
          <w:rFonts w:ascii="Times New Roman" w:hAnsi="Times New Roman"/>
          <w:sz w:val="24"/>
          <w:szCs w:val="24"/>
        </w:rPr>
      </w:pPr>
      <w:r w:rsidRPr="004F139A">
        <w:rPr>
          <w:rFonts w:ascii="Times New Roman" w:hAnsi="Times New Roman"/>
          <w:sz w:val="24"/>
          <w:szCs w:val="24"/>
        </w:rPr>
        <w:t xml:space="preserve">                                                                     Lecturer: .....................................................</w:t>
      </w:r>
    </w:p>
    <w:p w14:paraId="4B8AF3F7" w14:textId="77777777" w:rsidR="005B32CB" w:rsidRPr="004F139A" w:rsidRDefault="005B32CB" w:rsidP="005B32CB">
      <w:pPr>
        <w:rPr>
          <w:rFonts w:ascii="Times New Roman" w:hAnsi="Times New Roman"/>
          <w:sz w:val="24"/>
          <w:szCs w:val="24"/>
        </w:rPr>
      </w:pPr>
      <w:r w:rsidRPr="004F139A">
        <w:rPr>
          <w:rFonts w:ascii="Times New Roman" w:hAnsi="Times New Roman"/>
          <w:sz w:val="24"/>
          <w:szCs w:val="24"/>
        </w:rPr>
        <w:t xml:space="preserve">Topic: </w:t>
      </w:r>
      <w:r>
        <w:rPr>
          <w:rFonts w:ascii="Times New Roman" w:hAnsi="Times New Roman"/>
          <w:sz w:val="24"/>
          <w:szCs w:val="24"/>
        </w:rPr>
        <w:t>Global Forces and the Western European Brewing Industry</w:t>
      </w:r>
    </w:p>
    <w:p w14:paraId="2CBE24B9" w14:textId="77777777" w:rsidR="005B32CB" w:rsidRPr="004F139A" w:rsidRDefault="005B32CB" w:rsidP="005B32CB">
      <w:pPr>
        <w:rPr>
          <w:rFonts w:ascii="Times New Roman" w:hAnsi="Times New Roman"/>
          <w:sz w:val="24"/>
          <w:szCs w:val="24"/>
        </w:rPr>
      </w:pPr>
      <w:r w:rsidRPr="004F139A">
        <w:rPr>
          <w:rFonts w:ascii="Times New Roman" w:hAnsi="Times New Roman"/>
          <w:sz w:val="24"/>
          <w:szCs w:val="24"/>
        </w:rPr>
        <w:t>Marking Scheme</w:t>
      </w:r>
    </w:p>
    <w:tbl>
      <w:tblPr>
        <w:tblStyle w:val="TableGrid"/>
        <w:tblW w:w="0" w:type="auto"/>
        <w:tblLook w:val="04A0" w:firstRow="1" w:lastRow="0" w:firstColumn="1" w:lastColumn="0" w:noHBand="0" w:noVBand="1"/>
      </w:tblPr>
      <w:tblGrid>
        <w:gridCol w:w="510"/>
        <w:gridCol w:w="4207"/>
        <w:gridCol w:w="3127"/>
        <w:gridCol w:w="1172"/>
      </w:tblGrid>
      <w:tr w:rsidR="005B32CB" w:rsidRPr="004F139A" w14:paraId="6A478DFB" w14:textId="77777777" w:rsidTr="00907AD2">
        <w:tc>
          <w:tcPr>
            <w:tcW w:w="392" w:type="dxa"/>
          </w:tcPr>
          <w:p w14:paraId="15938675"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No</w:t>
            </w:r>
          </w:p>
        </w:tc>
        <w:tc>
          <w:tcPr>
            <w:tcW w:w="4394" w:type="dxa"/>
          </w:tcPr>
          <w:p w14:paraId="5799E149"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Assessment Criteria </w:t>
            </w:r>
          </w:p>
        </w:tc>
        <w:tc>
          <w:tcPr>
            <w:tcW w:w="3260" w:type="dxa"/>
          </w:tcPr>
          <w:p w14:paraId="4564A2DB"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Comments</w:t>
            </w:r>
          </w:p>
        </w:tc>
        <w:tc>
          <w:tcPr>
            <w:tcW w:w="1196" w:type="dxa"/>
          </w:tcPr>
          <w:p w14:paraId="40C896A2"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Marks</w:t>
            </w:r>
          </w:p>
        </w:tc>
      </w:tr>
      <w:tr w:rsidR="005B32CB" w:rsidRPr="004F139A" w14:paraId="72E95EFA" w14:textId="77777777" w:rsidTr="00907AD2">
        <w:tc>
          <w:tcPr>
            <w:tcW w:w="392" w:type="dxa"/>
          </w:tcPr>
          <w:p w14:paraId="561EBAD0"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1</w:t>
            </w:r>
          </w:p>
        </w:tc>
        <w:tc>
          <w:tcPr>
            <w:tcW w:w="4394" w:type="dxa"/>
          </w:tcPr>
          <w:p w14:paraId="73F1953A"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The extent to which the student has addressed the issues contained within the questions. </w:t>
            </w:r>
          </w:p>
          <w:p w14:paraId="15F6BFD8"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(20%)</w:t>
            </w:r>
          </w:p>
        </w:tc>
        <w:tc>
          <w:tcPr>
            <w:tcW w:w="3260" w:type="dxa"/>
          </w:tcPr>
          <w:p w14:paraId="362A78FE" w14:textId="77777777" w:rsidR="005B32CB" w:rsidRPr="004F139A" w:rsidRDefault="005B32CB" w:rsidP="00907AD2">
            <w:pPr>
              <w:rPr>
                <w:rFonts w:ascii="Times New Roman" w:hAnsi="Times New Roman"/>
                <w:sz w:val="24"/>
                <w:szCs w:val="24"/>
              </w:rPr>
            </w:pPr>
          </w:p>
        </w:tc>
        <w:tc>
          <w:tcPr>
            <w:tcW w:w="1196" w:type="dxa"/>
          </w:tcPr>
          <w:p w14:paraId="1670729B" w14:textId="77777777" w:rsidR="005B32CB" w:rsidRPr="004F139A" w:rsidRDefault="005B32CB" w:rsidP="00907AD2">
            <w:pPr>
              <w:rPr>
                <w:rFonts w:ascii="Times New Roman" w:hAnsi="Times New Roman"/>
                <w:sz w:val="24"/>
                <w:szCs w:val="24"/>
              </w:rPr>
            </w:pPr>
          </w:p>
        </w:tc>
      </w:tr>
      <w:tr w:rsidR="005B32CB" w:rsidRPr="004F139A" w14:paraId="7BB2F8A4" w14:textId="77777777" w:rsidTr="00907AD2">
        <w:tc>
          <w:tcPr>
            <w:tcW w:w="392" w:type="dxa"/>
          </w:tcPr>
          <w:p w14:paraId="7DED7F46"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2</w:t>
            </w:r>
          </w:p>
        </w:tc>
        <w:tc>
          <w:tcPr>
            <w:tcW w:w="4394" w:type="dxa"/>
          </w:tcPr>
          <w:p w14:paraId="1B389459"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Degree of underpinning knowledge of the theories that relate to each of the </w:t>
            </w:r>
            <w:proofErr w:type="gramStart"/>
            <w:r w:rsidRPr="004F139A">
              <w:rPr>
                <w:rFonts w:ascii="Times New Roman" w:hAnsi="Times New Roman"/>
                <w:sz w:val="24"/>
                <w:szCs w:val="24"/>
              </w:rPr>
              <w:t>questions</w:t>
            </w:r>
            <w:proofErr w:type="gramEnd"/>
            <w:r w:rsidRPr="004F139A">
              <w:rPr>
                <w:rFonts w:ascii="Times New Roman" w:hAnsi="Times New Roman"/>
                <w:sz w:val="24"/>
                <w:szCs w:val="24"/>
              </w:rPr>
              <w:t xml:space="preserve">  </w:t>
            </w:r>
          </w:p>
          <w:p w14:paraId="649FCDCE"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(20%).</w:t>
            </w:r>
          </w:p>
        </w:tc>
        <w:tc>
          <w:tcPr>
            <w:tcW w:w="3260" w:type="dxa"/>
          </w:tcPr>
          <w:p w14:paraId="61A74FDF" w14:textId="77777777" w:rsidR="005B32CB" w:rsidRPr="004F139A" w:rsidRDefault="005B32CB" w:rsidP="00907AD2">
            <w:pPr>
              <w:rPr>
                <w:rFonts w:ascii="Times New Roman" w:hAnsi="Times New Roman"/>
                <w:sz w:val="24"/>
                <w:szCs w:val="24"/>
              </w:rPr>
            </w:pPr>
          </w:p>
        </w:tc>
        <w:tc>
          <w:tcPr>
            <w:tcW w:w="1196" w:type="dxa"/>
          </w:tcPr>
          <w:p w14:paraId="6AAFF766" w14:textId="77777777" w:rsidR="005B32CB" w:rsidRPr="004F139A" w:rsidRDefault="005B32CB" w:rsidP="00907AD2">
            <w:pPr>
              <w:rPr>
                <w:rFonts w:ascii="Times New Roman" w:hAnsi="Times New Roman"/>
                <w:sz w:val="24"/>
                <w:szCs w:val="24"/>
              </w:rPr>
            </w:pPr>
          </w:p>
        </w:tc>
      </w:tr>
      <w:tr w:rsidR="005B32CB" w:rsidRPr="004F139A" w14:paraId="031E9220" w14:textId="77777777" w:rsidTr="00907AD2">
        <w:tc>
          <w:tcPr>
            <w:tcW w:w="392" w:type="dxa"/>
          </w:tcPr>
          <w:p w14:paraId="1BF99DB2"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3</w:t>
            </w:r>
          </w:p>
        </w:tc>
        <w:tc>
          <w:tcPr>
            <w:tcW w:w="4394" w:type="dxa"/>
          </w:tcPr>
          <w:p w14:paraId="522381B7"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The use of relevant case study material and other sources of relevant information, data and company examples gathered independently for substantiation </w:t>
            </w:r>
            <w:proofErr w:type="gramStart"/>
            <w:r w:rsidRPr="004F139A">
              <w:rPr>
                <w:rFonts w:ascii="Times New Roman" w:hAnsi="Times New Roman"/>
                <w:sz w:val="24"/>
                <w:szCs w:val="24"/>
              </w:rPr>
              <w:t>purposes</w:t>
            </w:r>
            <w:proofErr w:type="gramEnd"/>
            <w:r w:rsidRPr="004F139A">
              <w:rPr>
                <w:rFonts w:ascii="Times New Roman" w:hAnsi="Times New Roman"/>
                <w:sz w:val="24"/>
                <w:szCs w:val="24"/>
              </w:rPr>
              <w:t xml:space="preserve">                    </w:t>
            </w:r>
          </w:p>
          <w:p w14:paraId="37343155"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(25%).</w:t>
            </w:r>
          </w:p>
        </w:tc>
        <w:tc>
          <w:tcPr>
            <w:tcW w:w="3260" w:type="dxa"/>
          </w:tcPr>
          <w:p w14:paraId="68555A46" w14:textId="77777777" w:rsidR="005B32CB" w:rsidRPr="004F139A" w:rsidRDefault="005B32CB" w:rsidP="00907AD2">
            <w:pPr>
              <w:rPr>
                <w:rFonts w:ascii="Times New Roman" w:hAnsi="Times New Roman"/>
                <w:sz w:val="24"/>
                <w:szCs w:val="24"/>
              </w:rPr>
            </w:pPr>
          </w:p>
        </w:tc>
        <w:tc>
          <w:tcPr>
            <w:tcW w:w="1196" w:type="dxa"/>
          </w:tcPr>
          <w:p w14:paraId="2D752BD0" w14:textId="77777777" w:rsidR="005B32CB" w:rsidRPr="004F139A" w:rsidRDefault="005B32CB" w:rsidP="00907AD2">
            <w:pPr>
              <w:rPr>
                <w:rFonts w:ascii="Times New Roman" w:hAnsi="Times New Roman"/>
                <w:sz w:val="24"/>
                <w:szCs w:val="24"/>
              </w:rPr>
            </w:pPr>
          </w:p>
        </w:tc>
      </w:tr>
      <w:tr w:rsidR="005B32CB" w:rsidRPr="004F139A" w14:paraId="6FEB38C1" w14:textId="77777777" w:rsidTr="00907AD2">
        <w:tc>
          <w:tcPr>
            <w:tcW w:w="392" w:type="dxa"/>
          </w:tcPr>
          <w:p w14:paraId="46D874A5"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4</w:t>
            </w:r>
          </w:p>
        </w:tc>
        <w:tc>
          <w:tcPr>
            <w:tcW w:w="4394" w:type="dxa"/>
          </w:tcPr>
          <w:p w14:paraId="78FFBF6C"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Degree of analysis and evaluation in developing the arguments.</w:t>
            </w:r>
          </w:p>
          <w:p w14:paraId="065F8F25"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(25%).</w:t>
            </w:r>
          </w:p>
        </w:tc>
        <w:tc>
          <w:tcPr>
            <w:tcW w:w="3260" w:type="dxa"/>
          </w:tcPr>
          <w:p w14:paraId="1B032A21" w14:textId="77777777" w:rsidR="005B32CB" w:rsidRPr="004F139A" w:rsidRDefault="005B32CB" w:rsidP="00907AD2">
            <w:pPr>
              <w:rPr>
                <w:rFonts w:ascii="Times New Roman" w:hAnsi="Times New Roman"/>
                <w:sz w:val="24"/>
                <w:szCs w:val="24"/>
              </w:rPr>
            </w:pPr>
          </w:p>
        </w:tc>
        <w:tc>
          <w:tcPr>
            <w:tcW w:w="1196" w:type="dxa"/>
          </w:tcPr>
          <w:p w14:paraId="6373E37E" w14:textId="77777777" w:rsidR="005B32CB" w:rsidRPr="004F139A" w:rsidRDefault="005B32CB" w:rsidP="00907AD2">
            <w:pPr>
              <w:rPr>
                <w:rFonts w:ascii="Times New Roman" w:hAnsi="Times New Roman"/>
                <w:sz w:val="24"/>
                <w:szCs w:val="24"/>
              </w:rPr>
            </w:pPr>
          </w:p>
        </w:tc>
      </w:tr>
      <w:tr w:rsidR="005B32CB" w:rsidRPr="004F139A" w14:paraId="08D8E276" w14:textId="77777777" w:rsidTr="00907AD2">
        <w:tc>
          <w:tcPr>
            <w:tcW w:w="392" w:type="dxa"/>
          </w:tcPr>
          <w:p w14:paraId="2DED381B"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5</w:t>
            </w:r>
          </w:p>
        </w:tc>
        <w:tc>
          <w:tcPr>
            <w:tcW w:w="4394" w:type="dxa"/>
          </w:tcPr>
          <w:p w14:paraId="008E1E2F"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Format, structure and readability of the </w:t>
            </w:r>
            <w:proofErr w:type="gramStart"/>
            <w:r w:rsidRPr="004F139A">
              <w:rPr>
                <w:rFonts w:ascii="Times New Roman" w:hAnsi="Times New Roman"/>
                <w:sz w:val="24"/>
                <w:szCs w:val="24"/>
              </w:rPr>
              <w:t>answer’</w:t>
            </w:r>
            <w:proofErr w:type="gramEnd"/>
          </w:p>
          <w:p w14:paraId="6728914B"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t xml:space="preserve">                            (10%).</w:t>
            </w:r>
          </w:p>
        </w:tc>
        <w:tc>
          <w:tcPr>
            <w:tcW w:w="3260" w:type="dxa"/>
          </w:tcPr>
          <w:p w14:paraId="1A5AC823" w14:textId="77777777" w:rsidR="005B32CB" w:rsidRPr="004F139A" w:rsidRDefault="005B32CB" w:rsidP="00907AD2">
            <w:pPr>
              <w:rPr>
                <w:rFonts w:ascii="Times New Roman" w:hAnsi="Times New Roman"/>
                <w:sz w:val="24"/>
                <w:szCs w:val="24"/>
              </w:rPr>
            </w:pPr>
          </w:p>
        </w:tc>
        <w:tc>
          <w:tcPr>
            <w:tcW w:w="1196" w:type="dxa"/>
          </w:tcPr>
          <w:p w14:paraId="27BC9625" w14:textId="77777777" w:rsidR="005B32CB" w:rsidRPr="004F139A" w:rsidRDefault="005B32CB" w:rsidP="00907AD2">
            <w:pPr>
              <w:rPr>
                <w:rFonts w:ascii="Times New Roman" w:hAnsi="Times New Roman"/>
                <w:sz w:val="24"/>
                <w:szCs w:val="24"/>
              </w:rPr>
            </w:pPr>
          </w:p>
        </w:tc>
      </w:tr>
      <w:tr w:rsidR="005B32CB" w:rsidRPr="004F139A" w14:paraId="74319C4E" w14:textId="77777777" w:rsidTr="00907AD2">
        <w:tc>
          <w:tcPr>
            <w:tcW w:w="392" w:type="dxa"/>
          </w:tcPr>
          <w:p w14:paraId="03747441" w14:textId="77777777" w:rsidR="005B32CB" w:rsidRPr="004F139A" w:rsidRDefault="005B32CB" w:rsidP="00907AD2">
            <w:pPr>
              <w:rPr>
                <w:rFonts w:ascii="Times New Roman" w:hAnsi="Times New Roman"/>
                <w:sz w:val="24"/>
                <w:szCs w:val="24"/>
              </w:rPr>
            </w:pPr>
          </w:p>
        </w:tc>
        <w:tc>
          <w:tcPr>
            <w:tcW w:w="4394" w:type="dxa"/>
          </w:tcPr>
          <w:p w14:paraId="259C9B9C" w14:textId="77777777" w:rsidR="005B32CB" w:rsidRPr="004F139A" w:rsidRDefault="005B32CB" w:rsidP="00907AD2">
            <w:pPr>
              <w:rPr>
                <w:rFonts w:ascii="Times New Roman" w:hAnsi="Times New Roman"/>
                <w:sz w:val="24"/>
                <w:szCs w:val="24"/>
              </w:rPr>
            </w:pPr>
          </w:p>
          <w:p w14:paraId="040A79C8" w14:textId="77777777" w:rsidR="005B32CB" w:rsidRPr="004F139A" w:rsidRDefault="005B32CB" w:rsidP="00907AD2">
            <w:pPr>
              <w:rPr>
                <w:rFonts w:ascii="Times New Roman" w:hAnsi="Times New Roman"/>
                <w:sz w:val="24"/>
                <w:szCs w:val="24"/>
              </w:rPr>
            </w:pPr>
            <w:r w:rsidRPr="004F139A">
              <w:rPr>
                <w:rFonts w:ascii="Times New Roman" w:hAnsi="Times New Roman"/>
                <w:sz w:val="24"/>
                <w:szCs w:val="24"/>
              </w:rPr>
              <w:lastRenderedPageBreak/>
              <w:t xml:space="preserve">                                               Total marks</w:t>
            </w:r>
          </w:p>
          <w:p w14:paraId="20EE936C" w14:textId="77777777" w:rsidR="005B32CB" w:rsidRPr="004F139A" w:rsidRDefault="005B32CB" w:rsidP="00907AD2">
            <w:pPr>
              <w:rPr>
                <w:rFonts w:ascii="Times New Roman" w:hAnsi="Times New Roman"/>
                <w:sz w:val="24"/>
                <w:szCs w:val="24"/>
              </w:rPr>
            </w:pPr>
          </w:p>
        </w:tc>
        <w:tc>
          <w:tcPr>
            <w:tcW w:w="3260" w:type="dxa"/>
          </w:tcPr>
          <w:p w14:paraId="7B9A5EB0" w14:textId="77777777" w:rsidR="005B32CB" w:rsidRPr="004F139A" w:rsidRDefault="005B32CB" w:rsidP="00907AD2">
            <w:pPr>
              <w:rPr>
                <w:rFonts w:ascii="Times New Roman" w:hAnsi="Times New Roman"/>
                <w:sz w:val="24"/>
                <w:szCs w:val="24"/>
              </w:rPr>
            </w:pPr>
          </w:p>
        </w:tc>
        <w:tc>
          <w:tcPr>
            <w:tcW w:w="1196" w:type="dxa"/>
          </w:tcPr>
          <w:p w14:paraId="6C2F7893" w14:textId="77777777" w:rsidR="005B32CB" w:rsidRPr="004F139A" w:rsidRDefault="005B32CB" w:rsidP="00907AD2">
            <w:pPr>
              <w:rPr>
                <w:rFonts w:ascii="Times New Roman" w:hAnsi="Times New Roman"/>
                <w:sz w:val="24"/>
                <w:szCs w:val="24"/>
              </w:rPr>
            </w:pPr>
          </w:p>
        </w:tc>
      </w:tr>
    </w:tbl>
    <w:p w14:paraId="2E4654BF" w14:textId="77777777" w:rsidR="005B32CB" w:rsidRPr="004F139A" w:rsidRDefault="005B32CB" w:rsidP="005B32CB">
      <w:pPr>
        <w:rPr>
          <w:rFonts w:ascii="Times New Roman" w:hAnsi="Times New Roman"/>
          <w:sz w:val="24"/>
          <w:szCs w:val="24"/>
        </w:rPr>
      </w:pPr>
    </w:p>
    <w:p w14:paraId="5B2DF954" w14:textId="77777777" w:rsidR="005B32CB" w:rsidRDefault="005B32CB" w:rsidP="005B32CB">
      <w:pPr>
        <w:rPr>
          <w:rFonts w:ascii="Times New Roman" w:hAnsi="Times New Roman"/>
          <w:sz w:val="24"/>
          <w:szCs w:val="24"/>
        </w:rPr>
      </w:pPr>
      <w:r>
        <w:rPr>
          <w:rFonts w:ascii="Times New Roman" w:hAnsi="Times New Roman"/>
          <w:sz w:val="24"/>
          <w:szCs w:val="24"/>
        </w:rPr>
        <w:t xml:space="preserve">                                                    ………………………………</w:t>
      </w:r>
    </w:p>
    <w:p w14:paraId="34A0A6DF" w14:textId="77777777" w:rsidR="005B32CB" w:rsidRDefault="005B32CB"/>
    <w:sectPr w:rsidR="005B3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52A2F"/>
    <w:multiLevelType w:val="hybridMultilevel"/>
    <w:tmpl w:val="FB5808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9F43B24"/>
    <w:multiLevelType w:val="hybridMultilevel"/>
    <w:tmpl w:val="449A4A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7F094065"/>
    <w:multiLevelType w:val="hybridMultilevel"/>
    <w:tmpl w:val="6390259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218928899">
    <w:abstractNumId w:val="1"/>
  </w:num>
  <w:num w:numId="2" w16cid:durableId="1457287977">
    <w:abstractNumId w:val="2"/>
  </w:num>
  <w:num w:numId="3" w16cid:durableId="171029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CB"/>
    <w:rsid w:val="000750D7"/>
    <w:rsid w:val="005B32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1D90"/>
  <w15:chartTrackingRefBased/>
  <w15:docId w15:val="{43D5C2CE-6730-49B2-88FB-0F46C65A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CB"/>
    <w:pPr>
      <w:spacing w:after="200" w:line="276" w:lineRule="auto"/>
    </w:pPr>
    <w:rPr>
      <w:rFonts w:ascii="Myriad Pro" w:hAnsi="Myriad Pro" w:cs="Times New Roman"/>
      <w:kern w:val="0"/>
      <w:sz w:val="22"/>
      <w:szCs w:val="22"/>
      <w14:ligatures w14:val="none"/>
    </w:rPr>
  </w:style>
  <w:style w:type="paragraph" w:styleId="Heading1">
    <w:name w:val="heading 1"/>
    <w:basedOn w:val="Normal"/>
    <w:next w:val="Normal"/>
    <w:link w:val="Heading1Char"/>
    <w:uiPriority w:val="9"/>
    <w:qFormat/>
    <w:rsid w:val="005B3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2CB"/>
    <w:rPr>
      <w:rFonts w:eastAsiaTheme="majorEastAsia" w:cstheme="majorBidi"/>
      <w:color w:val="272727" w:themeColor="text1" w:themeTint="D8"/>
    </w:rPr>
  </w:style>
  <w:style w:type="paragraph" w:styleId="Title">
    <w:name w:val="Title"/>
    <w:basedOn w:val="Normal"/>
    <w:next w:val="Normal"/>
    <w:link w:val="TitleChar"/>
    <w:uiPriority w:val="10"/>
    <w:qFormat/>
    <w:rsid w:val="005B3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2CB"/>
    <w:pPr>
      <w:spacing w:before="160"/>
      <w:jc w:val="center"/>
    </w:pPr>
    <w:rPr>
      <w:i/>
      <w:iCs/>
      <w:color w:val="404040" w:themeColor="text1" w:themeTint="BF"/>
    </w:rPr>
  </w:style>
  <w:style w:type="character" w:customStyle="1" w:styleId="QuoteChar">
    <w:name w:val="Quote Char"/>
    <w:basedOn w:val="DefaultParagraphFont"/>
    <w:link w:val="Quote"/>
    <w:uiPriority w:val="29"/>
    <w:rsid w:val="005B32CB"/>
    <w:rPr>
      <w:i/>
      <w:iCs/>
      <w:color w:val="404040" w:themeColor="text1" w:themeTint="BF"/>
    </w:rPr>
  </w:style>
  <w:style w:type="paragraph" w:styleId="ListParagraph">
    <w:name w:val="List Paragraph"/>
    <w:basedOn w:val="Normal"/>
    <w:uiPriority w:val="34"/>
    <w:qFormat/>
    <w:rsid w:val="005B32CB"/>
    <w:pPr>
      <w:ind w:left="720"/>
      <w:contextualSpacing/>
    </w:pPr>
  </w:style>
  <w:style w:type="character" w:styleId="IntenseEmphasis">
    <w:name w:val="Intense Emphasis"/>
    <w:basedOn w:val="DefaultParagraphFont"/>
    <w:uiPriority w:val="21"/>
    <w:qFormat/>
    <w:rsid w:val="005B32CB"/>
    <w:rPr>
      <w:i/>
      <w:iCs/>
      <w:color w:val="0F4761" w:themeColor="accent1" w:themeShade="BF"/>
    </w:rPr>
  </w:style>
  <w:style w:type="paragraph" w:styleId="IntenseQuote">
    <w:name w:val="Intense Quote"/>
    <w:basedOn w:val="Normal"/>
    <w:next w:val="Normal"/>
    <w:link w:val="IntenseQuoteChar"/>
    <w:uiPriority w:val="30"/>
    <w:qFormat/>
    <w:rsid w:val="005B3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2CB"/>
    <w:rPr>
      <w:i/>
      <w:iCs/>
      <w:color w:val="0F4761" w:themeColor="accent1" w:themeShade="BF"/>
    </w:rPr>
  </w:style>
  <w:style w:type="character" w:styleId="IntenseReference">
    <w:name w:val="Intense Reference"/>
    <w:basedOn w:val="DefaultParagraphFont"/>
    <w:uiPriority w:val="32"/>
    <w:qFormat/>
    <w:rsid w:val="005B32CB"/>
    <w:rPr>
      <w:b/>
      <w:bCs/>
      <w:smallCaps/>
      <w:color w:val="0F4761" w:themeColor="accent1" w:themeShade="BF"/>
      <w:spacing w:val="5"/>
    </w:rPr>
  </w:style>
  <w:style w:type="paragraph" w:styleId="NoSpacing">
    <w:name w:val="No Spacing"/>
    <w:uiPriority w:val="1"/>
    <w:qFormat/>
    <w:rsid w:val="005B32CB"/>
    <w:pPr>
      <w:spacing w:after="0" w:line="240" w:lineRule="auto"/>
    </w:pPr>
    <w:rPr>
      <w:rFonts w:ascii="Myriad Pro" w:hAnsi="Myriad Pro" w:cs="Times New Roman"/>
      <w:kern w:val="0"/>
      <w:sz w:val="22"/>
      <w:szCs w:val="22"/>
      <w14:ligatures w14:val="none"/>
    </w:rPr>
  </w:style>
  <w:style w:type="table" w:styleId="TableGrid">
    <w:name w:val="Table Grid"/>
    <w:basedOn w:val="TableNormal"/>
    <w:uiPriority w:val="39"/>
    <w:rsid w:val="005B32CB"/>
    <w:pPr>
      <w:spacing w:after="0" w:line="240" w:lineRule="auto"/>
    </w:pPr>
    <w:rPr>
      <w:rFonts w:ascii="Myriad Pro" w:hAnsi="Myriad Pro"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384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95">
          <w:marLeft w:val="0"/>
          <w:marRight w:val="0"/>
          <w:marTop w:val="0"/>
          <w:marBottom w:val="0"/>
          <w:divBdr>
            <w:top w:val="none" w:sz="0" w:space="0" w:color="auto"/>
            <w:left w:val="none" w:sz="0" w:space="0" w:color="auto"/>
            <w:bottom w:val="none" w:sz="0" w:space="0" w:color="auto"/>
            <w:right w:val="none" w:sz="0" w:space="0" w:color="auto"/>
          </w:divBdr>
          <w:divsChild>
            <w:div w:id="9531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1</cp:revision>
  <dcterms:created xsi:type="dcterms:W3CDTF">2024-06-06T09:18:00Z</dcterms:created>
  <dcterms:modified xsi:type="dcterms:W3CDTF">2024-06-06T09:19:00Z</dcterms:modified>
</cp:coreProperties>
</file>